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5648" w14:textId="77777777" w:rsidR="00857BA6" w:rsidRDefault="00857BA6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857BA6" w14:paraId="21C4D66B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EF0763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2.3.4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FB24ED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C46845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Transmission du mouvement</w:t>
            </w:r>
          </w:p>
          <w:p w14:paraId="26E1068B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(Diviseurs de pouvoir, différentiels et antipatinage)</w:t>
            </w:r>
          </w:p>
        </w:tc>
      </w:tr>
      <w:tr w:rsidR="00857BA6" w14:paraId="697DF942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628B22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805D09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les modes d’utilisation du système de transmission du mouvement.</w:t>
            </w:r>
          </w:p>
        </w:tc>
      </w:tr>
      <w:tr w:rsidR="00857BA6" w14:paraId="4402BC4C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D054C3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507303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592070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110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3E6DB0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857BA6" w14:paraId="3C9DDEEC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FE94C3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les procédures d’utilisation de blocage du diviseur de pouvoir (interponts), ainsi que pour les différentiels (interroues) et l’utilisation du système antipatinage.</w:t>
            </w:r>
          </w:p>
        </w:tc>
      </w:tr>
      <w:tr w:rsidR="00857BA6" w14:paraId="69541176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7DD4A9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les moyens à prendre lors d’un enlisement ou d’un patinage.</w:t>
            </w:r>
          </w:p>
        </w:tc>
      </w:tr>
      <w:tr w:rsidR="00857BA6" w14:paraId="7DDEC938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2ED34D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6D1F57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583BCD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95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FAF03A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857BA6" w14:paraId="3D8AA0C0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DA559D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135401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Décrire où se situent ces systèmes sur le véhicule.</w:t>
            </w:r>
          </w:p>
        </w:tc>
      </w:tr>
      <w:tr w:rsidR="00857BA6" w14:paraId="1099CDD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45BF4B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C8560C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Comprendre la raison d’être d’un différentiel</w:t>
            </w:r>
          </w:p>
        </w:tc>
      </w:tr>
      <w:tr w:rsidR="00857BA6" w14:paraId="49704D3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7BB0BC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381C7F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Identifier les interrupteurs dans un tableau de bord qui sont reliés à ces systèmes. </w:t>
            </w:r>
          </w:p>
          <w:p w14:paraId="06AA2C40" w14:textId="77777777" w:rsidR="00857BA6" w:rsidRDefault="0069343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6">
              <w:r w:rsidR="00B02165">
                <w:rPr>
                  <w:rFonts w:ascii="Arial" w:eastAsia="Arial" w:hAnsi="Arial" w:cs="Arial"/>
                  <w:color w:val="1155CC"/>
                  <w:u w:val="single"/>
                </w:rPr>
                <w:t xml:space="preserve">vidéo blocage </w:t>
              </w:r>
            </w:hyperlink>
            <w:hyperlink r:id="rId7">
              <w:r w:rsidR="00B02165">
                <w:rPr>
                  <w:rFonts w:ascii="Arial" w:eastAsia="Arial" w:hAnsi="Arial" w:cs="Arial"/>
                  <w:color w:val="1155CC"/>
                  <w:u w:val="single"/>
                </w:rPr>
                <w:t>interponts</w:t>
              </w:r>
            </w:hyperlink>
            <w:hyperlink r:id="rId8">
              <w:r w:rsidR="00B02165">
                <w:rPr>
                  <w:rFonts w:ascii="Arial" w:eastAsia="Arial" w:hAnsi="Arial" w:cs="Arial"/>
                  <w:color w:val="1155CC"/>
                  <w:u w:val="single"/>
                </w:rPr>
                <w:t xml:space="preserve"> et interroues</w:t>
              </w:r>
            </w:hyperlink>
          </w:p>
        </w:tc>
      </w:tr>
      <w:tr w:rsidR="00857BA6" w14:paraId="1EDD2EE0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5033FD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E76367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Comprendre l’utilité du blocage de ces deux systèmes ainsi que les situations où il serait approprié de les utiliser.</w:t>
            </w:r>
          </w:p>
        </w:tc>
      </w:tr>
      <w:tr w:rsidR="00857BA6" w14:paraId="5BF05DD9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5C13A7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6AC410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Décrire les procédures d’engagement et de désengagement des systèmes.</w:t>
            </w:r>
          </w:p>
        </w:tc>
      </w:tr>
      <w:tr w:rsidR="00857BA6" w14:paraId="631FCADB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4D24FA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9047D0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problèmes potentiels reliés à une mauvaise utilisation (risques de bris et  les effets sur la conduite).</w:t>
            </w:r>
          </w:p>
        </w:tc>
      </w:tr>
      <w:tr w:rsidR="00857BA6" w14:paraId="4572969B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B61AA9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299CD6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principes physiques en lien avec l’utilisation des diviseurs de pouvoir, des différentiels et du système antipatinage.</w:t>
            </w:r>
          </w:p>
        </w:tc>
      </w:tr>
      <w:tr w:rsidR="00857BA6" w14:paraId="78C586D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08A27B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4E3148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l’interrupteur ainsi que le témoin lumineux dans un tableau de bord qui sont reliés au système antipatinage ATC, TCS, etc.</w:t>
            </w:r>
          </w:p>
        </w:tc>
      </w:tr>
      <w:tr w:rsidR="00857BA6" w14:paraId="4B8DE388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D4128C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D8504F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Décrire la fonction et le fonctionnement du système antipatinage (ATC, TCS, etc.) ainsi que les situations où il serait approprié de le désactiver.</w:t>
            </w:r>
          </w:p>
        </w:tc>
      </w:tr>
      <w:tr w:rsidR="00857BA6" w14:paraId="18DEF0C5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5EA390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B585E8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Décrire des moyens (des types d’outils et des matériaux de traction) et les façons de les utiliser lors d’un enlisement ou d’un patinage.</w:t>
            </w:r>
          </w:p>
        </w:tc>
      </w:tr>
      <w:tr w:rsidR="00857BA6" w14:paraId="507403AA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C78717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9648CE" w14:textId="77777777" w:rsidR="00857BA6" w:rsidRDefault="00857BA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857BA6" w14:paraId="3A3B9863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AD83A3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0DBD8247" w14:textId="67AA8280" w:rsidR="002D537A" w:rsidRPr="002D537A" w:rsidRDefault="002D537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2D537A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Allez consulter la compétence 2 dans Moodle.</w:t>
            </w:r>
          </w:p>
        </w:tc>
      </w:tr>
      <w:tr w:rsidR="00857BA6" w14:paraId="244F3B1B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FC66B8" w14:textId="77777777" w:rsidR="00857BA6" w:rsidRDefault="0069343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9">
              <w:r w:rsidR="00B02165">
                <w:rPr>
                  <w:rFonts w:ascii="Arial" w:eastAsia="Arial" w:hAnsi="Arial" w:cs="Arial"/>
                  <w:color w:val="1155CC"/>
                  <w:u w:val="single"/>
                </w:rPr>
                <w:t>Liens en référence</w:t>
              </w:r>
            </w:hyperlink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FD8E78" w14:textId="77777777" w:rsidR="00857BA6" w:rsidRDefault="00857BA6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57BA6" w14:paraId="08DFF9FD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9B466A" w14:textId="77777777" w:rsidR="00857BA6" w:rsidRDefault="0069343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0">
              <w:r w:rsidR="00B02165">
                <w:rPr>
                  <w:rFonts w:ascii="Arial" w:eastAsia="Arial" w:hAnsi="Arial" w:cs="Arial"/>
                  <w:color w:val="1155CC"/>
                  <w:u w:val="single"/>
                </w:rPr>
                <w:t>Vidéos Ponts-arrières</w:t>
              </w:r>
            </w:hyperlink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E90E8C" w14:textId="77777777" w:rsidR="00857BA6" w:rsidRDefault="00857BA6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57BA6" w14:paraId="35CBD901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860C65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963BFC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87FC5A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E8DF50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857BA6" w14:paraId="7DCE378E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50C624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857BA6" w14:paraId="5C5A4154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F1A52C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857BA6" w14:paraId="613C066A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892423" w14:textId="77777777" w:rsidR="00857BA6" w:rsidRDefault="00857BA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857BA6" w14:paraId="5CE9D404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CEF715" w14:textId="77777777" w:rsidR="00857BA6" w:rsidRDefault="00857BA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857BA6" w14:paraId="335599C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77932B" w14:textId="77777777" w:rsidR="00857BA6" w:rsidRDefault="00857BA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75FA7516" w14:textId="77777777" w:rsidR="00857BA6" w:rsidRDefault="00857BA6">
      <w:pPr>
        <w:spacing w:after="0"/>
        <w:rPr>
          <w:rFonts w:ascii="Arial" w:eastAsia="Arial" w:hAnsi="Arial" w:cs="Arial"/>
        </w:rPr>
      </w:pPr>
    </w:p>
    <w:sectPr w:rsidR="00857BA6">
      <w:headerReference w:type="default" r:id="rId11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62F3" w14:textId="77777777" w:rsidR="00B02165" w:rsidRDefault="00B02165">
      <w:pPr>
        <w:spacing w:after="0" w:line="240" w:lineRule="auto"/>
      </w:pPr>
      <w:r>
        <w:separator/>
      </w:r>
    </w:p>
  </w:endnote>
  <w:endnote w:type="continuationSeparator" w:id="0">
    <w:p w14:paraId="0B263D27" w14:textId="77777777" w:rsidR="00B02165" w:rsidRDefault="00B0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B37F" w14:textId="77777777" w:rsidR="00B02165" w:rsidRDefault="00B02165">
      <w:pPr>
        <w:spacing w:after="0" w:line="240" w:lineRule="auto"/>
      </w:pPr>
      <w:r>
        <w:separator/>
      </w:r>
    </w:p>
  </w:footnote>
  <w:footnote w:type="continuationSeparator" w:id="0">
    <w:p w14:paraId="1923B2A3" w14:textId="77777777" w:rsidR="00B02165" w:rsidRDefault="00B02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1C37" w14:textId="77777777" w:rsidR="00857BA6" w:rsidRDefault="00B021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FF05387" wp14:editId="01C13C69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413F07" w14:textId="77777777" w:rsidR="00857BA6" w:rsidRDefault="00B021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3B1BA93D" w14:textId="77777777" w:rsidR="00857BA6" w:rsidRDefault="00857B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A6"/>
    <w:rsid w:val="002D537A"/>
    <w:rsid w:val="00350F7C"/>
    <w:rsid w:val="00693430"/>
    <w:rsid w:val="00857BA6"/>
    <w:rsid w:val="00B0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508E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n3gCvbEnl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n3gCvbEnl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n3gCvbEnlw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cs.google.com/presentation/d/1FIceBifywD6HSxe2juV-x86tOZrQl6rM1q8O_2OWfuk/edit?usp=drive_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1wJIcw4XbN493Tyk7tmCYsHyhVr6IKx0DVitq_I01Fg/edit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2022</Characters>
  <Application>Microsoft Office Word</Application>
  <DocSecurity>0</DocSecurity>
  <Lines>134</Lines>
  <Paragraphs>111</Paragraphs>
  <ScaleCrop>false</ScaleCrop>
  <Company>CSSRDN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4</cp:revision>
  <dcterms:created xsi:type="dcterms:W3CDTF">2025-01-23T17:56:00Z</dcterms:created>
  <dcterms:modified xsi:type="dcterms:W3CDTF">2025-02-06T18:30:00Z</dcterms:modified>
</cp:coreProperties>
</file>