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19C9" w14:textId="77777777" w:rsidR="006F268F" w:rsidRDefault="006F268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6F268F" w14:paraId="46CD662C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BA2610" w14:textId="77777777" w:rsidR="006F268F" w:rsidRDefault="00A8469E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3.7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2F8F8" w14:textId="77777777" w:rsidR="006F268F" w:rsidRDefault="00A8469E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263509" w14:textId="77777777" w:rsidR="006F268F" w:rsidRDefault="00A8469E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droits, la santé et la sécurité au travail</w:t>
            </w:r>
          </w:p>
        </w:tc>
      </w:tr>
      <w:tr w:rsidR="006F268F" w14:paraId="58881A6E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57FE6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987332" w14:textId="77777777" w:rsidR="006F268F" w:rsidRDefault="00A8469E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6F268F" w14:paraId="39B28240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6AE2EC" w14:textId="77777777" w:rsidR="006F268F" w:rsidRDefault="006F268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906654" w14:textId="77777777" w:rsidR="006F268F" w:rsidRDefault="00A8469E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6F268F" w14:paraId="0E055A77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3BB402" w14:textId="77777777" w:rsidR="006F268F" w:rsidRDefault="00A8469E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7573A3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E215EB" w14:textId="77777777" w:rsidR="006F268F" w:rsidRDefault="00A8469E">
            <w:pPr>
              <w:widowControl w:val="0"/>
              <w:ind w:right="0"/>
              <w:jc w:val="center"/>
            </w:pPr>
            <w: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6FD32D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F268F" w14:paraId="188829C4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6C3708" w14:textId="77777777" w:rsidR="006F268F" w:rsidRDefault="00A8469E">
            <w:r>
              <w:t>Identifier ses droits et ses obligations en matière de lois, de santé et de sécurité au travail.</w:t>
            </w:r>
          </w:p>
        </w:tc>
      </w:tr>
      <w:tr w:rsidR="006F268F" w14:paraId="27C8E3B9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B7016C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E4F13" w14:textId="77777777" w:rsidR="006F268F" w:rsidRDefault="00A8469E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C4047" w14:textId="77777777" w:rsidR="006F268F" w:rsidRDefault="00A8469E">
            <w:pPr>
              <w:widowControl w:val="0"/>
              <w:ind w:right="0"/>
              <w:jc w:val="center"/>
              <w:rPr>
                <w:b/>
                <w:color w:val="0000FF"/>
              </w:rPr>
            </w:pPr>
            <w:r>
              <w:t>60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6ABC5B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F268F" w14:paraId="745700AE" w14:textId="77777777">
        <w:trPr>
          <w:trHeight w:val="440"/>
          <w:jc w:val="center"/>
        </w:trPr>
        <w:tc>
          <w:tcPr>
            <w:tcW w:w="555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D502ED" w14:textId="77777777" w:rsidR="006F268F" w:rsidRDefault="00A8469E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DE2C51" w14:textId="77777777" w:rsidR="006F268F" w:rsidRDefault="00A8469E">
            <w:pPr>
              <w:rPr>
                <w:b/>
              </w:rPr>
            </w:pPr>
            <w:r>
              <w:t>Informer les élèves sur les différentes parties des règlements applicables.</w:t>
            </w:r>
          </w:p>
        </w:tc>
      </w:tr>
      <w:tr w:rsidR="006F268F" w14:paraId="782F1DDF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C20A92" w14:textId="77777777" w:rsidR="006F268F" w:rsidRDefault="00A8469E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1C6A84" w14:textId="77777777" w:rsidR="006F268F" w:rsidRDefault="006F268F">
            <w:pPr>
              <w:ind w:right="0"/>
              <w:rPr>
                <w:b/>
              </w:rPr>
            </w:pPr>
          </w:p>
        </w:tc>
      </w:tr>
      <w:tr w:rsidR="006F268F" w14:paraId="23FED8F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121329" w14:textId="77777777" w:rsidR="006F268F" w:rsidRDefault="00A8469E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E2DE7A7" w14:textId="77777777" w:rsidR="0072224E" w:rsidRDefault="0072224E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4299DEA3" w14:textId="7284A165" w:rsidR="0072224E" w:rsidRPr="0072224E" w:rsidRDefault="0072224E">
            <w:pPr>
              <w:widowControl w:val="0"/>
              <w:ind w:right="0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6F268F" w14:paraId="4760D449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68689E" w14:textId="77777777" w:rsidR="006F268F" w:rsidRDefault="00A8469E">
            <w:hyperlink r:id="rId6">
              <w:r>
                <w:rPr>
                  <w:color w:val="1155CC"/>
                  <w:u w:val="single"/>
                </w:rPr>
                <w:t xml:space="preserve">Loi sur la santé et la sécurité du travail 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823610" w14:textId="77777777" w:rsidR="006F268F" w:rsidRDefault="006F268F">
            <w:pPr>
              <w:ind w:right="0"/>
            </w:pPr>
          </w:p>
        </w:tc>
      </w:tr>
      <w:tr w:rsidR="006F268F" w14:paraId="509DDE84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BCD181" w14:textId="77777777" w:rsidR="006F268F" w:rsidRDefault="00A8469E">
            <w:pPr>
              <w:ind w:right="0"/>
            </w:pPr>
            <w:hyperlink r:id="rId7">
              <w:r>
                <w:rPr>
                  <w:color w:val="1155CC"/>
                  <w:u w:val="single"/>
                </w:rPr>
                <w:t>Loi sur les accidents de travail et les maladies professionnelles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BE2BAA" w14:textId="77777777" w:rsidR="006F268F" w:rsidRDefault="006F268F">
            <w:pPr>
              <w:ind w:right="0"/>
            </w:pPr>
          </w:p>
        </w:tc>
      </w:tr>
      <w:tr w:rsidR="006F268F" w14:paraId="7B018A3E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6E4BEA" w14:textId="77777777" w:rsidR="006F268F" w:rsidRDefault="00A8469E">
            <w:pPr>
              <w:ind w:right="0"/>
            </w:pPr>
            <w:hyperlink r:id="rId8">
              <w:r>
                <w:rPr>
                  <w:color w:val="1155CC"/>
                  <w:u w:val="single"/>
                </w:rPr>
                <w:t>Loi sur les normes du travail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63214E" w14:textId="77777777" w:rsidR="006F268F" w:rsidRDefault="006F268F">
            <w:pPr>
              <w:widowControl w:val="0"/>
              <w:ind w:right="0"/>
            </w:pPr>
          </w:p>
        </w:tc>
      </w:tr>
      <w:tr w:rsidR="006F268F" w14:paraId="7C22BFA9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2175B9" w14:textId="77777777" w:rsidR="006F268F" w:rsidRDefault="00A8469E">
            <w:pPr>
              <w:ind w:right="0"/>
            </w:pPr>
            <w:hyperlink r:id="rId9">
              <w:r>
                <w:rPr>
                  <w:color w:val="1155CC"/>
                  <w:u w:val="single"/>
                </w:rPr>
                <w:t>En cas d’accident ou de maladie du travail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ADDDCC" w14:textId="77777777" w:rsidR="006F268F" w:rsidRDefault="006F268F">
            <w:pPr>
              <w:widowControl w:val="0"/>
              <w:ind w:right="0"/>
            </w:pPr>
          </w:p>
        </w:tc>
      </w:tr>
      <w:tr w:rsidR="006F268F" w14:paraId="1CB21CFF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FAD9B" w14:textId="77777777" w:rsidR="006F268F" w:rsidRDefault="00A8469E">
            <w:r>
              <w:t xml:space="preserve">Code canadien du travail, </w:t>
            </w:r>
            <w:hyperlink r:id="rId10" w:anchor="h-3">
              <w:r>
                <w:rPr>
                  <w:color w:val="3C78D8"/>
                  <w:highlight w:val="white"/>
                  <w:u w:val="single"/>
                </w:rPr>
                <w:t xml:space="preserve">PARTIE I - </w:t>
              </w:r>
            </w:hyperlink>
            <w:hyperlink r:id="rId11" w:anchor="h-3">
              <w:r>
                <w:rPr>
                  <w:color w:val="3C78D8"/>
                  <w:highlight w:val="white"/>
                  <w:u w:val="single"/>
                </w:rPr>
                <w:t>Relations du travail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53ECD9" w14:textId="77777777" w:rsidR="006F268F" w:rsidRDefault="006F268F">
            <w:pPr>
              <w:widowControl w:val="0"/>
              <w:ind w:right="0"/>
            </w:pPr>
          </w:p>
        </w:tc>
      </w:tr>
      <w:tr w:rsidR="006F268F" w14:paraId="7C7FD73E" w14:textId="77777777">
        <w:trPr>
          <w:trHeight w:val="440"/>
          <w:jc w:val="center"/>
        </w:trPr>
        <w:tc>
          <w:tcPr>
            <w:tcW w:w="555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0F2625" w14:textId="77777777" w:rsidR="006F268F" w:rsidRDefault="00A8469E">
            <w:pPr>
              <w:ind w:right="0"/>
            </w:pPr>
            <w:r>
              <w:t xml:space="preserve">Code canadien du travail, </w:t>
            </w:r>
            <w:hyperlink r:id="rId12" w:anchor="h-46">
              <w:r>
                <w:rPr>
                  <w:color w:val="1155CC"/>
                  <w:highlight w:val="white"/>
                  <w:u w:val="single"/>
                </w:rPr>
                <w:t xml:space="preserve">PARTIE II - </w:t>
              </w:r>
            </w:hyperlink>
            <w:hyperlink r:id="rId13" w:anchor="h-46">
              <w:r>
                <w:rPr>
                  <w:color w:val="1155CC"/>
                  <w:highlight w:val="white"/>
                  <w:u w:val="single"/>
                </w:rPr>
                <w:t>Santé et sécurité au travail</w:t>
              </w:r>
            </w:hyperlink>
          </w:p>
        </w:tc>
        <w:tc>
          <w:tcPr>
            <w:tcW w:w="5106" w:type="dxa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374C87" w14:textId="77777777" w:rsidR="006F268F" w:rsidRDefault="006F268F">
            <w:pPr>
              <w:widowControl w:val="0"/>
              <w:ind w:right="0"/>
            </w:pPr>
          </w:p>
        </w:tc>
      </w:tr>
      <w:tr w:rsidR="006F268F" w14:paraId="5787A5F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715DA2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21F049" w14:textId="77777777" w:rsidR="006F268F" w:rsidRDefault="00A8469E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0BF197" w14:textId="77777777" w:rsidR="006F268F" w:rsidRDefault="006F268F">
            <w:pPr>
              <w:widowControl w:val="0"/>
              <w:ind w:right="0"/>
              <w:jc w:val="center"/>
              <w:rPr>
                <w:b/>
                <w:color w:val="0000FF"/>
              </w:rPr>
            </w:pP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401C3A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6F268F" w14:paraId="6C1AB386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7378C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highlight w:val="yellow"/>
              </w:rPr>
              <w:t>Le questionnaire d’aide à l’apprentissage est dans le Moodle du groupe</w:t>
            </w:r>
          </w:p>
        </w:tc>
      </w:tr>
      <w:tr w:rsidR="006F268F" w14:paraId="58211C8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61BB0" w14:textId="77777777" w:rsidR="006F268F" w:rsidRDefault="00A8469E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6F268F" w14:paraId="13586F2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5169E7" w14:textId="77777777" w:rsidR="006F268F" w:rsidRDefault="006F268F">
            <w:pPr>
              <w:widowControl w:val="0"/>
              <w:ind w:right="0"/>
              <w:rPr>
                <w:b/>
              </w:rPr>
            </w:pPr>
          </w:p>
        </w:tc>
      </w:tr>
      <w:tr w:rsidR="006F268F" w14:paraId="5B5EF3C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BFEE8" w14:textId="77777777" w:rsidR="006F268F" w:rsidRDefault="006F268F">
            <w:pPr>
              <w:widowControl w:val="0"/>
              <w:ind w:right="0"/>
              <w:rPr>
                <w:b/>
              </w:rPr>
            </w:pPr>
          </w:p>
        </w:tc>
      </w:tr>
    </w:tbl>
    <w:p w14:paraId="6C1A6295" w14:textId="77777777" w:rsidR="006F268F" w:rsidRDefault="006F268F">
      <w:pPr>
        <w:spacing w:line="276" w:lineRule="auto"/>
        <w:ind w:right="0"/>
      </w:pPr>
    </w:p>
    <w:p w14:paraId="4B44D933" w14:textId="77777777" w:rsidR="006F268F" w:rsidRDefault="006F268F"/>
    <w:sectPr w:rsidR="006F268F">
      <w:headerReference w:type="default" r:id="rId14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B658F" w14:textId="77777777" w:rsidR="00ED1E20" w:rsidRDefault="00ED1E20">
      <w:r>
        <w:separator/>
      </w:r>
    </w:p>
  </w:endnote>
  <w:endnote w:type="continuationSeparator" w:id="0">
    <w:p w14:paraId="63E28C48" w14:textId="77777777" w:rsidR="00ED1E20" w:rsidRDefault="00ED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81B" w14:textId="77777777" w:rsidR="00ED1E20" w:rsidRDefault="00ED1E20">
      <w:r>
        <w:separator/>
      </w:r>
    </w:p>
  </w:footnote>
  <w:footnote w:type="continuationSeparator" w:id="0">
    <w:p w14:paraId="4A9782EC" w14:textId="77777777" w:rsidR="00ED1E20" w:rsidRDefault="00ED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52F6" w14:textId="77777777" w:rsidR="006F268F" w:rsidRDefault="00A8469E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008CD8" wp14:editId="3D282491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E38CD1" w14:textId="77777777" w:rsidR="006F268F" w:rsidRDefault="00A8469E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8F"/>
    <w:rsid w:val="0030356C"/>
    <w:rsid w:val="0045397D"/>
    <w:rsid w:val="006F268F"/>
    <w:rsid w:val="0072224E"/>
    <w:rsid w:val="00A8469E"/>
    <w:rsid w:val="00E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942D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quebec.gouv.qc.ca/fr/showdoc/cs/n-1.1" TargetMode="External"/><Relationship Id="rId13" Type="http://schemas.openxmlformats.org/officeDocument/2006/relationships/hyperlink" Target="http://lois-laws.justice.gc.ca/fra/lois/L-2/page-22.html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legisquebec.gouv.qc.ca/fr/showdoc/cs/A-3.001" TargetMode="External"/><Relationship Id="rId12" Type="http://schemas.openxmlformats.org/officeDocument/2006/relationships/hyperlink" Target="http://lois-laws.justice.gc.ca/fra/lois/L-2/page-22.html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isquebec.gouv.qc.ca/fr/ShowDoc/cs/S-2.1/" TargetMode="External"/><Relationship Id="rId11" Type="http://schemas.openxmlformats.org/officeDocument/2006/relationships/hyperlink" Target="http://lois-laws.justice.gc.ca/fra/lois/L-2/page-1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lois-laws.justice.gc.ca/fra/lois/L-2/page-1.html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9ZUnLF7ruFqmUnvwKgxOlWxr7H3vUO3/view?usp=drive_li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971AD4D7-7C7E-4210-AC3B-9DA60815C771}"/>
</file>

<file path=customXml/itemProps2.xml><?xml version="1.0" encoding="utf-8"?>
<ds:datastoreItem xmlns:ds="http://schemas.openxmlformats.org/officeDocument/2006/customXml" ds:itemID="{A9F81E2B-9BF1-4E9F-A0F4-7F4FFA587751}"/>
</file>

<file path=customXml/itemProps3.xml><?xml version="1.0" encoding="utf-8"?>
<ds:datastoreItem xmlns:ds="http://schemas.openxmlformats.org/officeDocument/2006/customXml" ds:itemID="{32E5C7D5-CB32-49E3-95DC-2551238F9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>CSSRDN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2025-03-28T17:22:00Z</dcterms:created>
  <dcterms:modified xsi:type="dcterms:W3CDTF">2025-08-28T22:30:00Z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