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5648" w14:textId="77777777" w:rsidR="00857BA6" w:rsidRDefault="00857BA6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857BA6" w14:paraId="21C4D66B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EF0763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2.3.4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B24ED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C46845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Transmission du mouvement</w:t>
            </w:r>
          </w:p>
          <w:p w14:paraId="26E1068B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(Diviseurs de pouvoir, différentiels et antipatinage)</w:t>
            </w:r>
          </w:p>
        </w:tc>
      </w:tr>
      <w:tr w:rsidR="00857BA6" w14:paraId="697DF942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28B22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805D09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</w:tc>
      </w:tr>
      <w:tr w:rsidR="00857BA6" w14:paraId="4402BC4C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D054C3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507303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92070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3E6DB0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57BA6" w14:paraId="3C9DDEE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FE94C3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les procédures d’utilisation de blocage du diviseur de pouvoir (</w:t>
            </w:r>
            <w:proofErr w:type="spellStart"/>
            <w:r>
              <w:rPr>
                <w:rFonts w:ascii="Arial" w:eastAsia="Arial" w:hAnsi="Arial" w:cs="Arial"/>
              </w:rPr>
              <w:t>interponts</w:t>
            </w:r>
            <w:proofErr w:type="spellEnd"/>
            <w:r>
              <w:rPr>
                <w:rFonts w:ascii="Arial" w:eastAsia="Arial" w:hAnsi="Arial" w:cs="Arial"/>
              </w:rPr>
              <w:t>), ainsi que pour les différentiels (</w:t>
            </w:r>
            <w:proofErr w:type="spellStart"/>
            <w:r>
              <w:rPr>
                <w:rFonts w:ascii="Arial" w:eastAsia="Arial" w:hAnsi="Arial" w:cs="Arial"/>
              </w:rPr>
              <w:t>interroues</w:t>
            </w:r>
            <w:proofErr w:type="spellEnd"/>
            <w:r>
              <w:rPr>
                <w:rFonts w:ascii="Arial" w:eastAsia="Arial" w:hAnsi="Arial" w:cs="Arial"/>
              </w:rPr>
              <w:t>) et l’utilisation du système antipatinage.</w:t>
            </w:r>
          </w:p>
        </w:tc>
      </w:tr>
      <w:tr w:rsidR="00857BA6" w14:paraId="6954117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7DD4A9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les moyens à prendre lors d’un enlisement ou d’un patinage.</w:t>
            </w:r>
          </w:p>
        </w:tc>
      </w:tr>
      <w:tr w:rsidR="00857BA6" w14:paraId="7DDEC938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2ED34D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6D1F57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583BCD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FAF03A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57BA6" w14:paraId="3D8AA0C0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DA559D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135401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où se situent ces systèmes sur le véhicule.</w:t>
            </w:r>
          </w:p>
        </w:tc>
      </w:tr>
      <w:tr w:rsidR="00857BA6" w14:paraId="1099CDD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45BF4B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C8560C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Comprendre la raison d’être d’un différentiel</w:t>
            </w:r>
          </w:p>
        </w:tc>
      </w:tr>
      <w:tr w:rsidR="00857BA6" w14:paraId="49704D3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BB0BC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81C7F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les interrupteurs dans un tableau de bord qui sont reliés à ces systèmes. </w:t>
            </w:r>
          </w:p>
          <w:p w14:paraId="06AA2C40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9">
              <w:proofErr w:type="gramStart"/>
              <w:r>
                <w:rPr>
                  <w:rFonts w:ascii="Arial" w:eastAsia="Arial" w:hAnsi="Arial" w:cs="Arial"/>
                  <w:color w:val="1155CC"/>
                  <w:u w:val="single"/>
                </w:rPr>
                <w:t>vidéo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blocage </w:t>
              </w:r>
            </w:hyperlink>
            <w:hyperlink r:id="rId10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interponts</w:t>
              </w:r>
              <w:proofErr w:type="spellEnd"/>
            </w:hyperlink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et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interroues</w:t>
              </w:r>
              <w:proofErr w:type="spellEnd"/>
            </w:hyperlink>
          </w:p>
        </w:tc>
      </w:tr>
      <w:tr w:rsidR="00857BA6" w14:paraId="1EDD2EE0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5033FD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E76367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Comprendre l’utilité du blocage de ces deux systèmes ainsi que les situations où il serait approprié de les utiliser.</w:t>
            </w:r>
          </w:p>
        </w:tc>
      </w:tr>
      <w:tr w:rsidR="00857BA6" w14:paraId="5BF05DD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5C13A7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6AC410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les procédures d’engagement et de désengagement des systèmes.</w:t>
            </w:r>
          </w:p>
        </w:tc>
      </w:tr>
      <w:tr w:rsidR="00857BA6" w14:paraId="631FCAD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4D24FA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9047D0" w14:textId="21F55BF3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Reconnaître les problèmes potentiels reliés à une mauvaise utilisation (risques de bris </w:t>
            </w:r>
            <w:proofErr w:type="gramStart"/>
            <w:r>
              <w:rPr>
                <w:rFonts w:ascii="Arial" w:eastAsia="Arial" w:hAnsi="Arial" w:cs="Arial"/>
              </w:rPr>
              <w:t xml:space="preserve">et  </w:t>
            </w:r>
            <w:r w:rsidR="00C47608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proofErr w:type="gramEnd"/>
            <w:r>
              <w:rPr>
                <w:rFonts w:ascii="Arial" w:eastAsia="Arial" w:hAnsi="Arial" w:cs="Arial"/>
              </w:rPr>
              <w:t xml:space="preserve"> effets sur la conduite).</w:t>
            </w:r>
          </w:p>
        </w:tc>
      </w:tr>
      <w:tr w:rsidR="00857BA6" w14:paraId="4572969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B61AA9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299CD6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principes physiques en lien avec l’utilisation des diviseurs de pouvoir, des différentiels et du système antipatinage.</w:t>
            </w:r>
          </w:p>
        </w:tc>
      </w:tr>
      <w:tr w:rsidR="00857BA6" w14:paraId="78C586D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8A27B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4E3148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l’interrupteur ainsi que le témoin lumineux dans un tableau de bord qui sont reliés au système antipatinage ATC, TCS, etc.</w:t>
            </w:r>
          </w:p>
        </w:tc>
      </w:tr>
      <w:tr w:rsidR="00857BA6" w14:paraId="4B8DE38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D4128C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D8504F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la fonction et le fonctionnement du système antipatinage (ATC, TCS, etc.) ainsi que les situations où il serait approprié de le désactiver.</w:t>
            </w:r>
          </w:p>
        </w:tc>
      </w:tr>
      <w:tr w:rsidR="00857BA6" w14:paraId="18DEF0C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5EA390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B585E8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des moyens (des types d’outils et des matériaux de traction) et les façons de les utiliser lors d’un enlisement ou d’un patinage.</w:t>
            </w:r>
          </w:p>
        </w:tc>
      </w:tr>
      <w:tr w:rsidR="00857BA6" w14:paraId="507403AA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78717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9648CE" w14:textId="77777777" w:rsidR="00857BA6" w:rsidRDefault="00857BA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857BA6" w14:paraId="3A3B986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AD83A3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C0E1828" w14:textId="77777777" w:rsidR="00C47608" w:rsidRDefault="00C4760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DBD8247" w14:textId="67AA8280" w:rsidR="002D537A" w:rsidRPr="002D537A" w:rsidRDefault="002D537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D537A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Allez consulter la compétence 2 dans Moodle.</w:t>
            </w:r>
          </w:p>
        </w:tc>
      </w:tr>
      <w:tr w:rsidR="00857BA6" w14:paraId="35CBD901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860C65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63BFC" w14:textId="77777777" w:rsidR="00857BA6" w:rsidRDefault="00B0216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87FC5A" w14:textId="77777777" w:rsidR="00857BA6" w:rsidRDefault="00B02165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E8DF50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57BA6" w14:paraId="7DCE378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0C624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47608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857BA6" w14:paraId="5C5A415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F1A52C" w14:textId="77777777" w:rsidR="00857BA6" w:rsidRDefault="00B021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857BA6" w14:paraId="613C066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92423" w14:textId="77777777" w:rsidR="00857BA6" w:rsidRDefault="00857BA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857BA6" w14:paraId="335599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7932B" w14:textId="77777777" w:rsidR="00857BA6" w:rsidRDefault="00857BA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5FA7516" w14:textId="77777777" w:rsidR="00857BA6" w:rsidRDefault="00857BA6">
      <w:pPr>
        <w:spacing w:after="0"/>
        <w:rPr>
          <w:rFonts w:ascii="Arial" w:eastAsia="Arial" w:hAnsi="Arial" w:cs="Arial"/>
        </w:rPr>
      </w:pPr>
    </w:p>
    <w:sectPr w:rsidR="00857BA6">
      <w:headerReference w:type="default" r:id="rId12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62F3" w14:textId="77777777" w:rsidR="00B02165" w:rsidRDefault="00B02165">
      <w:pPr>
        <w:spacing w:after="0" w:line="240" w:lineRule="auto"/>
      </w:pPr>
      <w:r>
        <w:separator/>
      </w:r>
    </w:p>
  </w:endnote>
  <w:endnote w:type="continuationSeparator" w:id="0">
    <w:p w14:paraId="0B263D27" w14:textId="77777777" w:rsidR="00B02165" w:rsidRDefault="00B0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B37F" w14:textId="77777777" w:rsidR="00B02165" w:rsidRDefault="00B02165">
      <w:pPr>
        <w:spacing w:after="0" w:line="240" w:lineRule="auto"/>
      </w:pPr>
      <w:r>
        <w:separator/>
      </w:r>
    </w:p>
  </w:footnote>
  <w:footnote w:type="continuationSeparator" w:id="0">
    <w:p w14:paraId="1923B2A3" w14:textId="77777777" w:rsidR="00B02165" w:rsidRDefault="00B0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1C37" w14:textId="77777777" w:rsidR="00857BA6" w:rsidRDefault="00B02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05387" wp14:editId="01C13C6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413F07" w14:textId="77777777" w:rsidR="00857BA6" w:rsidRDefault="00B02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3B1BA93D" w14:textId="77777777" w:rsidR="00857BA6" w:rsidRDefault="00857B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A6"/>
    <w:rsid w:val="002C3C02"/>
    <w:rsid w:val="002D537A"/>
    <w:rsid w:val="00350F7C"/>
    <w:rsid w:val="00693430"/>
    <w:rsid w:val="00857BA6"/>
    <w:rsid w:val="00B02165"/>
    <w:rsid w:val="00C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508E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n3gCvbEnl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n3gCvbEnl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On3gCvbEnl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D0050-D4FA-4889-B1CC-3698C016B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D58F7-7DD1-4C19-A795-0BFAE17327C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f222bab-544d-4591-bb95-c2ff23484fec"/>
    <ds:schemaRef ds:uri="f4a97e92-76cf-47e1-8045-025b32fe32b4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72D1C8-5118-4948-BDED-044BCE9D9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1835</Characters>
  <Application>Microsoft Office Word</Application>
  <DocSecurity>0</DocSecurity>
  <Lines>15</Lines>
  <Paragraphs>4</Paragraphs>
  <ScaleCrop>false</ScaleCrop>
  <Company>CSSRDN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2025-01-23T17:56:00Z</dcterms:created>
  <dcterms:modified xsi:type="dcterms:W3CDTF">2025-09-03T16:31:00Z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