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3E" w:rsidRDefault="005F443E" w:rsidP="00412EE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43E"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1000507" cy="42817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69" cy="4329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EC" w:rsidRPr="00283C85" w:rsidRDefault="00412EEC" w:rsidP="00412EE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IPEFP 04 - GESTION DE CLASSE</w:t>
      </w:r>
    </w:p>
    <w:p w:rsidR="005F443E" w:rsidRDefault="00F90A08" w:rsidP="00801131">
      <w:pPr>
        <w:pStyle w:val="Paragraphedeliste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9689E">
        <w:rPr>
          <w:rFonts w:ascii="Times New Roman" w:hAnsi="Times New Roman" w:cs="Times New Roman"/>
          <w:b/>
          <w:sz w:val="24"/>
          <w:szCs w:val="24"/>
        </w:rPr>
        <w:t>Décri</w:t>
      </w:r>
      <w:r>
        <w:rPr>
          <w:rFonts w:ascii="Times New Roman" w:hAnsi="Times New Roman" w:cs="Times New Roman"/>
          <w:b/>
          <w:sz w:val="24"/>
          <w:szCs w:val="24"/>
        </w:rPr>
        <w:t>vez</w:t>
      </w:r>
      <w:r w:rsidRPr="00D9689E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a situation nécessitant une intervention de gestion de classe.</w:t>
      </w:r>
      <w:r w:rsidRPr="009034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½ page</w:t>
      </w:r>
      <w:r w:rsidRPr="00A859E4">
        <w:rPr>
          <w:rFonts w:ascii="Times New Roman" w:hAnsi="Times New Roman" w:cs="Times New Roman"/>
          <w:b/>
          <w:sz w:val="24"/>
          <w:szCs w:val="24"/>
        </w:rPr>
        <w:t>)</w:t>
      </w:r>
    </w:p>
    <w:p w:rsidR="005F443E" w:rsidRPr="005F443E" w:rsidRDefault="005F443E" w:rsidP="005F443E"/>
    <w:p w:rsidR="005F443E" w:rsidRPr="005F443E" w:rsidRDefault="005F443E" w:rsidP="005F443E"/>
    <w:p w:rsidR="005F443E" w:rsidRPr="005F443E" w:rsidRDefault="005F443E" w:rsidP="005F443E"/>
    <w:p w:rsidR="005F443E" w:rsidRPr="005F443E" w:rsidRDefault="005F443E" w:rsidP="005F443E"/>
    <w:p w:rsidR="005F443E" w:rsidRPr="005F443E" w:rsidRDefault="005F443E" w:rsidP="005F443E"/>
    <w:p w:rsidR="005F443E" w:rsidRPr="005F443E" w:rsidRDefault="005F443E" w:rsidP="005F443E"/>
    <w:p w:rsidR="005F443E" w:rsidRPr="005F443E" w:rsidRDefault="005F443E" w:rsidP="005F443E"/>
    <w:p w:rsidR="005F443E" w:rsidRDefault="005F443E" w:rsidP="005F443E"/>
    <w:p w:rsidR="005F443E" w:rsidRDefault="00F90A08" w:rsidP="005F443E">
      <w:pPr>
        <w:rPr>
          <w:rFonts w:ascii="Times New Roman" w:hAnsi="Times New Roman" w:cs="Times New Roman"/>
          <w:sz w:val="24"/>
          <w:szCs w:val="24"/>
        </w:rPr>
      </w:pPr>
      <w:r w:rsidRPr="00A859E4">
        <w:rPr>
          <w:rFonts w:ascii="Times New Roman" w:hAnsi="Times New Roman" w:cs="Times New Roman"/>
          <w:b/>
          <w:sz w:val="24"/>
          <w:szCs w:val="24"/>
        </w:rPr>
        <w:t>Présent</w:t>
      </w:r>
      <w:r>
        <w:rPr>
          <w:rFonts w:ascii="Times New Roman" w:hAnsi="Times New Roman" w:cs="Times New Roman"/>
          <w:b/>
          <w:sz w:val="24"/>
          <w:szCs w:val="24"/>
        </w:rPr>
        <w:t>ez et faites une rétroaction sur l’</w:t>
      </w:r>
      <w:r w:rsidRPr="00A859E4">
        <w:rPr>
          <w:rFonts w:ascii="Times New Roman" w:hAnsi="Times New Roman" w:cs="Times New Roman"/>
          <w:b/>
          <w:sz w:val="24"/>
          <w:szCs w:val="24"/>
        </w:rPr>
        <w:t xml:space="preserve">outil </w:t>
      </w:r>
      <w:r>
        <w:rPr>
          <w:rFonts w:ascii="Times New Roman" w:hAnsi="Times New Roman" w:cs="Times New Roman"/>
          <w:b/>
          <w:sz w:val="24"/>
          <w:szCs w:val="24"/>
        </w:rPr>
        <w:t xml:space="preserve">ou l’intervention </w:t>
      </w:r>
      <w:r w:rsidRPr="00A859E4">
        <w:rPr>
          <w:rFonts w:ascii="Times New Roman" w:hAnsi="Times New Roman" w:cs="Times New Roman"/>
          <w:b/>
          <w:sz w:val="24"/>
          <w:szCs w:val="24"/>
        </w:rPr>
        <w:t>de gestion de classe relatif</w:t>
      </w:r>
      <w:r>
        <w:rPr>
          <w:rFonts w:ascii="Times New Roman" w:hAnsi="Times New Roman" w:cs="Times New Roman"/>
          <w:b/>
          <w:sz w:val="24"/>
          <w:szCs w:val="24"/>
        </w:rPr>
        <w:t xml:space="preserve">s à la situation décrite. </w:t>
      </w:r>
      <w:r w:rsidRPr="000171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71C6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sz w:val="24"/>
          <w:szCs w:val="24"/>
        </w:rPr>
        <w:t> : 1</w:t>
      </w:r>
      <w:r w:rsidRPr="000171C6">
        <w:rPr>
          <w:rFonts w:ascii="Times New Roman" w:hAnsi="Times New Roman" w:cs="Times New Roman"/>
          <w:sz w:val="24"/>
          <w:szCs w:val="24"/>
        </w:rPr>
        <w:t xml:space="preserve"> page)</w:t>
      </w:r>
    </w:p>
    <w:p w:rsidR="00F90A08" w:rsidRDefault="00F90A08" w:rsidP="005F443E">
      <w:pPr>
        <w:rPr>
          <w:rFonts w:ascii="Times New Roman" w:hAnsi="Times New Roman" w:cs="Times New Roman"/>
          <w:sz w:val="24"/>
          <w:szCs w:val="24"/>
        </w:rPr>
      </w:pPr>
    </w:p>
    <w:p w:rsidR="00F90A08" w:rsidRDefault="00F90A08" w:rsidP="005F443E">
      <w:pPr>
        <w:rPr>
          <w:rFonts w:ascii="Times New Roman" w:hAnsi="Times New Roman" w:cs="Times New Roman"/>
          <w:sz w:val="24"/>
          <w:szCs w:val="24"/>
        </w:rPr>
      </w:pPr>
    </w:p>
    <w:p w:rsidR="00F90A08" w:rsidRDefault="00F90A08" w:rsidP="005F443E">
      <w:pPr>
        <w:sectPr w:rsidR="00F90A08" w:rsidSect="00E91071">
          <w:headerReference w:type="default" r:id="rId8"/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801131" w:rsidRDefault="005F443E" w:rsidP="005F443E">
      <w:pPr>
        <w:pStyle w:val="Titre2"/>
        <w:rPr>
          <w:b/>
        </w:rPr>
      </w:pPr>
      <w:r w:rsidRPr="005F443E">
        <w:rPr>
          <w:b/>
        </w:rPr>
        <w:lastRenderedPageBreak/>
        <w:t>Grille d’évaluation – IPE -04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386"/>
        <w:gridCol w:w="8"/>
        <w:gridCol w:w="2686"/>
        <w:gridCol w:w="8"/>
        <w:gridCol w:w="2260"/>
        <w:gridCol w:w="8"/>
        <w:gridCol w:w="1976"/>
        <w:gridCol w:w="8"/>
        <w:gridCol w:w="2544"/>
        <w:gridCol w:w="8"/>
        <w:gridCol w:w="1409"/>
        <w:gridCol w:w="8"/>
      </w:tblGrid>
      <w:tr w:rsidR="005F443E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F1740F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0" w:name="_GoBack" w:colFirst="1" w:colLast="4"/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C72E80" w:rsidRDefault="00C72E80" w:rsidP="00C72E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C72E80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C72E80" w:rsidRDefault="00C72E80" w:rsidP="00C72E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C72E80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C72E80" w:rsidRDefault="00C72E80" w:rsidP="00C72E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C72E80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C72E80" w:rsidRDefault="00C72E80" w:rsidP="00C72E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C72E80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5F443E" w:rsidRPr="00F1740F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bookmarkEnd w:id="0"/>
      <w:tr w:rsidR="005F443E" w:rsidRPr="00F1740F" w:rsidTr="00324B07">
        <w:trPr>
          <w:gridAfter w:val="1"/>
          <w:wAfter w:w="8" w:type="dxa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DD3AFD" w:rsidRDefault="005F443E" w:rsidP="005F44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Contexte d’utilisation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’un outil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br/>
              <w:t>gestion de classe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requis au niveau du contexte 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F607A7" w:rsidRDefault="005F443E" w:rsidP="00324B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clair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’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outil de gestion de classe relatif aux règles et aux attentes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instaurées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D57F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D4BE5" w:rsidRDefault="005F443E" w:rsidP="005F44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Description de l’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outil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br/>
              <w:t>gestion de classe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d’outil de gestion de classe sont définis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dans la description de l’activité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(</w:t>
            </w:r>
            <w:r w:rsidRPr="001B311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l’intention pédagogique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</w:t>
            </w:r>
            <w:r w:rsidRPr="001B311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durée ou échéance prévue de son utilisation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etc.)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 clefs sont clairs, bien définis et cohérents entre eux. L’activité est plausible et cohérente avec l’ensemble des éléments. 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est riche, mais manque de précision à l’égard d’au moins un des éléments clefs.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manque de précision et/ou l’activité est incohérente avec le contexte ou les éléments clefs.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de l’activité et/ou les éléments clefs sont lacunaires et insuffisants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DD3AFD" w:rsidRDefault="005F443E" w:rsidP="005F44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D3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Rétroaction de l’utilisation d’un outil de gestion de classe</w:t>
            </w:r>
            <w:r w:rsidRPr="00DD3AF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DD3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mis en place</w:t>
            </w:r>
            <w:r w:rsidRPr="00DD3AF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requis au niveau du contexte 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clair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faire le constat de l’atteinte ou non de l’objectif.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brièvement abordé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et insuffisante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295246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D4BE5" w:rsidRDefault="005F443E" w:rsidP="005F44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Analyse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d’impact de </w:t>
            </w:r>
            <w:r w:rsidRPr="001B31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l’outil de gestion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de classe</w:t>
            </w:r>
          </w:p>
          <w:p w:rsidR="005F443E" w:rsidRPr="00683715" w:rsidRDefault="005F443E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critique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quant aux déroulements de l’activité et aux </w:t>
            </w:r>
            <w:r w:rsidRPr="00123CE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stratégies d’intervention ciblées dans l’outil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gestion de classe.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L’analyse est riche et critique. Elle prend appui sur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l’objectif, l’atteinte ou non de l’intention pédagogique ciblée ou du résultat, les avantages et les désavantages de cet outil et les modifications à y apporter.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est riche et critique, mais ne s’appuie que partiellement sur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 volets d’enseignement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nécessiterait un regard plus critique. 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L’argumentaire est faible et peu contextualisé.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C6572B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="005F443E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 </w:t>
            </w:r>
          </w:p>
        </w:tc>
      </w:tr>
      <w:tr w:rsidR="005F443E" w:rsidRPr="00F1740F" w:rsidTr="00324B07">
        <w:trPr>
          <w:gridAfter w:val="1"/>
          <w:wAfter w:w="8" w:type="dxa"/>
          <w:trHeight w:val="279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D4BE5" w:rsidRDefault="005F443E" w:rsidP="005F44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5F443E" w:rsidRPr="00F1740F" w:rsidTr="00324B07">
        <w:trPr>
          <w:gridAfter w:val="1"/>
          <w:wAfter w:w="8" w:type="dxa"/>
          <w:trHeight w:val="51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After w:val="1"/>
          <w:wAfter w:w="8" w:type="dxa"/>
          <w:trHeight w:val="4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5F443E" w:rsidRPr="00683715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Before w:val="1"/>
          <w:wBefore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683715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5F443E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3E" w:rsidRPr="00F1740F" w:rsidRDefault="005F443E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F1740F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43E" w:rsidRPr="00F1740F" w:rsidRDefault="005F443E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443E" w:rsidRPr="00F1740F" w:rsidRDefault="005F443E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:rsidR="005F443E" w:rsidRPr="005F443E" w:rsidRDefault="005F443E" w:rsidP="005F443E"/>
    <w:sectPr w:rsidR="005F443E" w:rsidRPr="005F443E" w:rsidSect="005F443E">
      <w:headerReference w:type="default" r:id="rId10"/>
      <w:footerReference w:type="default" r:id="rId11"/>
      <w:pgSz w:w="15840" w:h="12240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71" w:rsidRDefault="00E91071" w:rsidP="00E91071">
      <w:r>
        <w:separator/>
      </w:r>
    </w:p>
  </w:endnote>
  <w:endnote w:type="continuationSeparator" w:id="0">
    <w:p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Pr="00E91071" w:rsidRDefault="00F90A08" w:rsidP="005F443E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</w:tabs>
    </w:pPr>
    <w:r>
      <w:t xml:space="preserve">Bureau de l'expertise et du déploiement pédagogique - BEDP IV </w:t>
    </w:r>
    <w:r w:rsidR="00E91071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Pr="00F90A08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Pr="00F90A08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3E" w:rsidRPr="00E91071" w:rsidRDefault="00F90A08" w:rsidP="005F443E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 xml:space="preserve">Bureau de l'expertise et du déploiement pédagogique - BEDP IV </w:t>
    </w:r>
    <w:r w:rsidR="005F443E">
      <w:tab/>
    </w:r>
    <w:r w:rsidR="005F443E">
      <w:rPr>
        <w:lang w:val="fr-FR"/>
      </w:rPr>
      <w:t xml:space="preserve">Page </w:t>
    </w:r>
    <w:r w:rsidR="005F443E">
      <w:rPr>
        <w:b/>
        <w:bCs/>
      </w:rPr>
      <w:fldChar w:fldCharType="begin"/>
    </w:r>
    <w:r w:rsidR="005F443E">
      <w:rPr>
        <w:b/>
        <w:bCs/>
      </w:rPr>
      <w:instrText>PAGE  \* Arabic  \* MERGEFORMAT</w:instrText>
    </w:r>
    <w:r w:rsidR="005F443E">
      <w:rPr>
        <w:b/>
        <w:bCs/>
      </w:rPr>
      <w:fldChar w:fldCharType="separate"/>
    </w:r>
    <w:r w:rsidRPr="00F90A08">
      <w:rPr>
        <w:b/>
        <w:bCs/>
        <w:noProof/>
        <w:lang w:val="fr-FR"/>
      </w:rPr>
      <w:t>2</w:t>
    </w:r>
    <w:r w:rsidR="005F443E">
      <w:rPr>
        <w:b/>
        <w:bCs/>
      </w:rPr>
      <w:fldChar w:fldCharType="end"/>
    </w:r>
    <w:r w:rsidR="005F443E">
      <w:rPr>
        <w:lang w:val="fr-FR"/>
      </w:rPr>
      <w:t xml:space="preserve"> sur </w:t>
    </w:r>
    <w:r w:rsidR="005F443E">
      <w:rPr>
        <w:b/>
        <w:bCs/>
      </w:rPr>
      <w:fldChar w:fldCharType="begin"/>
    </w:r>
    <w:r w:rsidR="005F443E">
      <w:rPr>
        <w:b/>
        <w:bCs/>
      </w:rPr>
      <w:instrText>NUMPAGES  \* Arabic  \* MERGEFORMAT</w:instrText>
    </w:r>
    <w:r w:rsidR="005F443E">
      <w:rPr>
        <w:b/>
        <w:bCs/>
      </w:rPr>
      <w:fldChar w:fldCharType="separate"/>
    </w:r>
    <w:r w:rsidRPr="00F90A08">
      <w:rPr>
        <w:b/>
        <w:bCs/>
        <w:noProof/>
        <w:lang w:val="fr-FR"/>
      </w:rPr>
      <w:t>2</w:t>
    </w:r>
    <w:r w:rsidR="005F443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71" w:rsidRDefault="00E91071" w:rsidP="00E91071">
      <w:r>
        <w:separator/>
      </w:r>
    </w:p>
  </w:footnote>
  <w:footnote w:type="continuationSeparator" w:id="0">
    <w:p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Default="00F90A08" w:rsidP="00E91071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3E" w:rsidRPr="005F443E" w:rsidRDefault="005F443E" w:rsidP="005F44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1B31EE"/>
    <w:rsid w:val="00295246"/>
    <w:rsid w:val="002D57FB"/>
    <w:rsid w:val="00412EEC"/>
    <w:rsid w:val="00442D0A"/>
    <w:rsid w:val="004915DD"/>
    <w:rsid w:val="005F443E"/>
    <w:rsid w:val="0076669B"/>
    <w:rsid w:val="00801131"/>
    <w:rsid w:val="00C6572B"/>
    <w:rsid w:val="00C72E80"/>
    <w:rsid w:val="00D40D3F"/>
    <w:rsid w:val="00E4132E"/>
    <w:rsid w:val="00E91071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C07F7F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4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F4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6</cp:revision>
  <dcterms:created xsi:type="dcterms:W3CDTF">2021-06-25T15:47:00Z</dcterms:created>
  <dcterms:modified xsi:type="dcterms:W3CDTF">2024-05-09T14:14:00Z</dcterms:modified>
</cp:coreProperties>
</file>