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C427ED" w:rsidP="00C427ED">
      <w:pPr>
        <w:jc w:val="center"/>
        <w:rPr>
          <w:rFonts w:ascii="Constantia" w:hAnsi="Constantia"/>
          <w:b/>
          <w:sz w:val="32"/>
          <w:u w:val="single"/>
        </w:rPr>
      </w:pPr>
      <w:r>
        <w:rPr>
          <w:rFonts w:ascii="Constantia" w:hAnsi="Constantia"/>
          <w:b/>
          <w:sz w:val="32"/>
          <w:u w:val="single"/>
        </w:rPr>
        <w:t>Les caractéristiques des articulations synoviales</w:t>
      </w:r>
    </w:p>
    <w:p w:rsidR="00C427ED" w:rsidRDefault="00C427ED" w:rsidP="00C427ED">
      <w:pPr>
        <w:jc w:val="center"/>
        <w:rPr>
          <w:rFonts w:ascii="Constantia" w:hAnsi="Constantia"/>
          <w:b/>
          <w:sz w:val="32"/>
          <w:u w:val="single"/>
        </w:rPr>
      </w:pPr>
    </w:p>
    <w:tbl>
      <w:tblPr>
        <w:tblStyle w:val="Grilledutableau"/>
        <w:tblW w:w="10065" w:type="dxa"/>
        <w:tblInd w:w="-601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C427ED" w:rsidTr="00BE63AC">
        <w:tc>
          <w:tcPr>
            <w:tcW w:w="2836" w:type="dxa"/>
          </w:tcPr>
          <w:p w:rsidR="00C427ED" w:rsidRPr="00C427ED" w:rsidRDefault="00C427ED" w:rsidP="00C427ED">
            <w:pPr>
              <w:jc w:val="center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Structures</w:t>
            </w:r>
          </w:p>
        </w:tc>
        <w:tc>
          <w:tcPr>
            <w:tcW w:w="7229" w:type="dxa"/>
          </w:tcPr>
          <w:p w:rsidR="00C427ED" w:rsidRPr="00C427ED" w:rsidRDefault="00C427ED" w:rsidP="00C427ED">
            <w:pPr>
              <w:jc w:val="center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Caractéristiques</w:t>
            </w:r>
          </w:p>
        </w:tc>
      </w:tr>
      <w:tr w:rsidR="00C427ED" w:rsidTr="00BE63AC">
        <w:tc>
          <w:tcPr>
            <w:tcW w:w="2836" w:type="dxa"/>
          </w:tcPr>
          <w:p w:rsidR="00C427ED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Cartilage articulaire</w:t>
            </w:r>
          </w:p>
        </w:tc>
        <w:tc>
          <w:tcPr>
            <w:tcW w:w="7229" w:type="dxa"/>
          </w:tcPr>
          <w:p w:rsidR="00C427ED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Recouvre la surface des os mais ne les unit pas.</w:t>
            </w:r>
          </w:p>
          <w:p w:rsidR="000452F8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Non vascularisé</w:t>
            </w:r>
            <w:r w:rsidR="00BE63AC">
              <w:rPr>
                <w:rFonts w:ascii="Constantia" w:hAnsi="Constantia"/>
                <w:sz w:val="24"/>
              </w:rPr>
              <w:t>.</w:t>
            </w:r>
          </w:p>
          <w:p w:rsidR="000452F8" w:rsidRDefault="000452F8" w:rsidP="004B3CE3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Forme </w:t>
            </w:r>
            <w:r w:rsidR="004B3CE3">
              <w:rPr>
                <w:rFonts w:ascii="Constantia" w:hAnsi="Constantia"/>
                <w:sz w:val="24"/>
              </w:rPr>
              <w:t>un coussinet mince et spongieux.</w:t>
            </w:r>
          </w:p>
          <w:p w:rsidR="004B3CE3" w:rsidRDefault="004B3CE3" w:rsidP="004B3CE3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Amortit les chocs.</w:t>
            </w:r>
          </w:p>
          <w:p w:rsidR="004B3CE3" w:rsidRDefault="004B3CE3" w:rsidP="004B3CE3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Facilite le glissement d’un os sur un autre.</w:t>
            </w:r>
          </w:p>
        </w:tc>
      </w:tr>
      <w:tr w:rsidR="00C427ED" w:rsidTr="00BE63AC">
        <w:tc>
          <w:tcPr>
            <w:tcW w:w="2836" w:type="dxa"/>
          </w:tcPr>
          <w:p w:rsidR="00C427ED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Cavité articulaire ou cavité synoviale</w:t>
            </w:r>
          </w:p>
        </w:tc>
        <w:tc>
          <w:tcPr>
            <w:tcW w:w="7229" w:type="dxa"/>
          </w:tcPr>
          <w:p w:rsidR="00C427ED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Espace entre les os qui contient une petite quantité de liquide synoviale</w:t>
            </w:r>
            <w:r w:rsidR="00BE63AC">
              <w:rPr>
                <w:rFonts w:ascii="Constantia" w:hAnsi="Constantia"/>
                <w:sz w:val="24"/>
              </w:rPr>
              <w:t>.</w:t>
            </w:r>
          </w:p>
        </w:tc>
      </w:tr>
      <w:tr w:rsidR="00C427ED" w:rsidTr="00BE63AC">
        <w:tc>
          <w:tcPr>
            <w:tcW w:w="2836" w:type="dxa"/>
          </w:tcPr>
          <w:p w:rsidR="00C427ED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Capsule articulaire </w:t>
            </w:r>
          </w:p>
        </w:tc>
        <w:tc>
          <w:tcPr>
            <w:tcW w:w="7229" w:type="dxa"/>
          </w:tcPr>
          <w:p w:rsidR="00C427ED" w:rsidRDefault="004B3CE3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Assure une grande résistance à l’articulation.</w:t>
            </w:r>
          </w:p>
          <w:p w:rsidR="004B3CE3" w:rsidRDefault="004B3CE3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Entoure l’articulation.</w:t>
            </w:r>
          </w:p>
        </w:tc>
      </w:tr>
      <w:tr w:rsidR="00C427ED" w:rsidTr="00BE63AC">
        <w:tc>
          <w:tcPr>
            <w:tcW w:w="2836" w:type="dxa"/>
          </w:tcPr>
          <w:p w:rsidR="004B3CE3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Synovie</w:t>
            </w:r>
            <w:r w:rsidR="004B3CE3">
              <w:rPr>
                <w:rFonts w:ascii="Constantia" w:hAnsi="Constantia"/>
                <w:sz w:val="24"/>
              </w:rPr>
              <w:t xml:space="preserve">  </w:t>
            </w:r>
          </w:p>
          <w:p w:rsidR="00C427ED" w:rsidRDefault="004B3CE3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(liquide synoviale)</w:t>
            </w:r>
          </w:p>
        </w:tc>
        <w:tc>
          <w:tcPr>
            <w:tcW w:w="7229" w:type="dxa"/>
          </w:tcPr>
          <w:p w:rsidR="000452F8" w:rsidRDefault="004B3CE3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Lubrifie les cartilages, les nourrit et réduit les frictions pendant un mouvement.</w:t>
            </w:r>
          </w:p>
          <w:p w:rsidR="004B3CE3" w:rsidRDefault="004B3CE3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Se situe dans la cavité articulaire.</w:t>
            </w:r>
          </w:p>
        </w:tc>
      </w:tr>
      <w:tr w:rsidR="00C427ED" w:rsidTr="00BE63AC">
        <w:tc>
          <w:tcPr>
            <w:tcW w:w="2836" w:type="dxa"/>
          </w:tcPr>
          <w:p w:rsidR="00C427ED" w:rsidRDefault="000452F8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Ligaments</w:t>
            </w:r>
          </w:p>
        </w:tc>
        <w:tc>
          <w:tcPr>
            <w:tcW w:w="7229" w:type="dxa"/>
          </w:tcPr>
          <w:p w:rsidR="00C427ED" w:rsidRDefault="00BE63AC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Bandes de tissu conjonctif fibreux très résistantes.</w:t>
            </w:r>
          </w:p>
          <w:p w:rsidR="00BE63AC" w:rsidRDefault="00BE63AC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Relient un os à un autre.</w:t>
            </w:r>
          </w:p>
          <w:p w:rsidR="00BE63AC" w:rsidRDefault="00BE63AC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Renforcent et protègent les articulations.</w:t>
            </w:r>
          </w:p>
          <w:p w:rsidR="00BE63AC" w:rsidRDefault="00BE63AC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Assurent une meilleure stabilité aux articulations ayant le plus de tensions,  en limitant la mobilité.</w:t>
            </w:r>
          </w:p>
        </w:tc>
      </w:tr>
      <w:tr w:rsidR="004B3CE3" w:rsidTr="00BE63AC">
        <w:tc>
          <w:tcPr>
            <w:tcW w:w="2836" w:type="dxa"/>
          </w:tcPr>
          <w:p w:rsidR="004B3CE3" w:rsidRDefault="004B3CE3" w:rsidP="00C427ED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Tendons</w:t>
            </w:r>
          </w:p>
        </w:tc>
        <w:tc>
          <w:tcPr>
            <w:tcW w:w="7229" w:type="dxa"/>
          </w:tcPr>
          <w:p w:rsidR="004B3CE3" w:rsidRDefault="004B3CE3" w:rsidP="004B3CE3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Relient un muscle à un os</w:t>
            </w:r>
          </w:p>
          <w:p w:rsidR="004B3CE3" w:rsidRDefault="004B3CE3" w:rsidP="004B3CE3">
            <w:pPr>
              <w:rPr>
                <w:rFonts w:ascii="Constantia" w:hAnsi="Constantia"/>
                <w:sz w:val="24"/>
              </w:rPr>
            </w:pPr>
          </w:p>
        </w:tc>
      </w:tr>
    </w:tbl>
    <w:p w:rsidR="00C427ED" w:rsidRDefault="00C427ED" w:rsidP="00C427ED">
      <w:pPr>
        <w:rPr>
          <w:rFonts w:ascii="Constantia" w:hAnsi="Constantia"/>
          <w:sz w:val="24"/>
        </w:rPr>
      </w:pPr>
    </w:p>
    <w:p w:rsidR="00BE63AC" w:rsidRDefault="00BE63AC" w:rsidP="00BE63AC">
      <w:pPr>
        <w:rPr>
          <w:rFonts w:ascii="Constantia" w:hAnsi="Constantia"/>
          <w:b/>
          <w:sz w:val="32"/>
          <w:u w:val="single"/>
        </w:rPr>
      </w:pPr>
      <w:r w:rsidRPr="00BE63AC">
        <w:rPr>
          <w:rFonts w:ascii="Constantia" w:hAnsi="Constantia"/>
          <w:b/>
          <w:sz w:val="32"/>
          <w:u w:val="single"/>
        </w:rPr>
        <w:t>On retrouve dans certaines articulations synoviales d’autres structures…</w:t>
      </w:r>
    </w:p>
    <w:p w:rsidR="004B3CE3" w:rsidRPr="004B3CE3" w:rsidRDefault="004B3CE3" w:rsidP="00BE63AC">
      <w:pPr>
        <w:rPr>
          <w:rFonts w:ascii="Constantia" w:hAnsi="Constantia"/>
          <w:b/>
          <w:sz w:val="32"/>
        </w:rPr>
      </w:pPr>
      <w:r w:rsidRPr="004B3CE3">
        <w:rPr>
          <w:rFonts w:ascii="Constantia" w:hAnsi="Constantia"/>
          <w:b/>
          <w:sz w:val="32"/>
        </w:rPr>
        <w:t>Pourquoi?</w:t>
      </w:r>
      <w:r>
        <w:rPr>
          <w:rFonts w:ascii="Constantia" w:hAnsi="Constantia"/>
          <w:b/>
          <w:sz w:val="32"/>
        </w:rPr>
        <w:t xml:space="preserve">    </w:t>
      </w:r>
      <w:r w:rsidRPr="004B3CE3">
        <w:rPr>
          <w:rFonts w:ascii="Constantia" w:hAnsi="Constantia"/>
          <w:sz w:val="32"/>
        </w:rPr>
        <w:t>Pour être mieux protégées contre l’usure.</w:t>
      </w:r>
    </w:p>
    <w:p w:rsidR="003D2354" w:rsidRDefault="003D2354" w:rsidP="00BE63AC">
      <w:pPr>
        <w:rPr>
          <w:rFonts w:ascii="Constantia" w:hAnsi="Constantia"/>
          <w:b/>
          <w:sz w:val="32"/>
          <w:u w:val="single"/>
        </w:rPr>
      </w:pPr>
    </w:p>
    <w:tbl>
      <w:tblPr>
        <w:tblStyle w:val="Grilledutableau"/>
        <w:tblW w:w="10065" w:type="dxa"/>
        <w:tblInd w:w="-601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BE63AC" w:rsidTr="003D2354">
        <w:tc>
          <w:tcPr>
            <w:tcW w:w="2836" w:type="dxa"/>
          </w:tcPr>
          <w:p w:rsidR="00BE63AC" w:rsidRPr="00C427ED" w:rsidRDefault="00BE63AC" w:rsidP="00EF471D">
            <w:pPr>
              <w:jc w:val="center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Structures</w:t>
            </w:r>
          </w:p>
        </w:tc>
        <w:tc>
          <w:tcPr>
            <w:tcW w:w="7229" w:type="dxa"/>
          </w:tcPr>
          <w:p w:rsidR="00BE63AC" w:rsidRPr="00C427ED" w:rsidRDefault="00BE63AC" w:rsidP="00EF471D">
            <w:pPr>
              <w:jc w:val="center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Caractéristiques</w:t>
            </w:r>
          </w:p>
        </w:tc>
      </w:tr>
      <w:tr w:rsidR="00BE63AC" w:rsidTr="003D2354">
        <w:trPr>
          <w:trHeight w:val="427"/>
        </w:trPr>
        <w:tc>
          <w:tcPr>
            <w:tcW w:w="2836" w:type="dxa"/>
          </w:tcPr>
          <w:p w:rsidR="00BE63AC" w:rsidRDefault="00BE63AC" w:rsidP="00BE63AC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Les coussinets adipeux</w:t>
            </w:r>
          </w:p>
        </w:tc>
        <w:tc>
          <w:tcPr>
            <w:tcW w:w="7229" w:type="dxa"/>
          </w:tcPr>
          <w:p w:rsidR="00BE63AC" w:rsidRDefault="00BE63AC" w:rsidP="00BE63AC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Amortisseur entre la membrane fibreuse et la membrane synoviale. </w:t>
            </w:r>
          </w:p>
        </w:tc>
      </w:tr>
      <w:tr w:rsidR="00BE63AC" w:rsidTr="003D2354">
        <w:tc>
          <w:tcPr>
            <w:tcW w:w="2836" w:type="dxa"/>
          </w:tcPr>
          <w:p w:rsidR="00BE63AC" w:rsidRDefault="00BE63AC" w:rsidP="00BE63AC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Les ménisques</w:t>
            </w:r>
          </w:p>
        </w:tc>
        <w:tc>
          <w:tcPr>
            <w:tcW w:w="7229" w:type="dxa"/>
          </w:tcPr>
          <w:p w:rsidR="00BE63AC" w:rsidRDefault="004B3CE3" w:rsidP="00BE63AC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Disques de cartilage fibreux qui permettent un meilleur ajustement de deux surfaces  articulaires au cours du mouvement.</w:t>
            </w:r>
          </w:p>
        </w:tc>
      </w:tr>
      <w:tr w:rsidR="00BE63AC" w:rsidTr="003D2354">
        <w:trPr>
          <w:trHeight w:val="950"/>
        </w:trPr>
        <w:tc>
          <w:tcPr>
            <w:tcW w:w="2836" w:type="dxa"/>
          </w:tcPr>
          <w:p w:rsidR="00BE63AC" w:rsidRDefault="00BE63AC" w:rsidP="00BE63AC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Les bourses</w:t>
            </w:r>
            <w:r w:rsidR="004B3CE3">
              <w:rPr>
                <w:rFonts w:ascii="Constantia" w:hAnsi="Constantia"/>
                <w:sz w:val="24"/>
              </w:rPr>
              <w:t xml:space="preserve"> séreuses</w:t>
            </w:r>
          </w:p>
        </w:tc>
        <w:tc>
          <w:tcPr>
            <w:tcW w:w="7229" w:type="dxa"/>
          </w:tcPr>
          <w:p w:rsidR="003D2354" w:rsidRDefault="003D2354" w:rsidP="00BE63AC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Réduisent la friction entre les articulations et les structures voisines durant le mouvement.</w:t>
            </w:r>
          </w:p>
          <w:p w:rsidR="004B3CE3" w:rsidRDefault="004B3CE3" w:rsidP="00BE63AC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Sacs de tissu conjonctif remplis de liquide synovial.</w:t>
            </w:r>
            <w:bookmarkStart w:id="0" w:name="_GoBack"/>
            <w:bookmarkEnd w:id="0"/>
          </w:p>
          <w:p w:rsidR="00BE63AC" w:rsidRDefault="00BE63AC" w:rsidP="00BE63AC">
            <w:pPr>
              <w:rPr>
                <w:rFonts w:ascii="Constantia" w:hAnsi="Constantia"/>
                <w:sz w:val="24"/>
              </w:rPr>
            </w:pPr>
          </w:p>
        </w:tc>
      </w:tr>
    </w:tbl>
    <w:p w:rsidR="00BE63AC" w:rsidRPr="00C427ED" w:rsidRDefault="00BE63AC" w:rsidP="00C427ED">
      <w:pPr>
        <w:rPr>
          <w:rFonts w:ascii="Constantia" w:hAnsi="Constantia"/>
          <w:sz w:val="24"/>
        </w:rPr>
      </w:pPr>
    </w:p>
    <w:sectPr w:rsidR="00BE63AC" w:rsidRPr="00C42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54" w:rsidRDefault="003D2354" w:rsidP="003D2354">
      <w:pPr>
        <w:spacing w:after="0" w:line="240" w:lineRule="auto"/>
      </w:pPr>
      <w:r>
        <w:separator/>
      </w:r>
    </w:p>
  </w:endnote>
  <w:endnote w:type="continuationSeparator" w:id="0">
    <w:p w:rsidR="003D2354" w:rsidRDefault="003D2354" w:rsidP="003D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4" w:rsidRDefault="003D23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4" w:rsidRPr="003D2354" w:rsidRDefault="003D2354">
    <w:pPr>
      <w:pStyle w:val="Pieddepage"/>
      <w:rPr>
        <w:rFonts w:ascii="Lucida Calligraphy" w:hAnsi="Lucida Calligraphy"/>
        <w:sz w:val="16"/>
        <w:szCs w:val="16"/>
      </w:rPr>
    </w:pPr>
    <w:r w:rsidRPr="003D2354">
      <w:rPr>
        <w:rFonts w:ascii="Lucida Calligraphy" w:hAnsi="Lucida Calligraphy"/>
        <w:sz w:val="16"/>
        <w:szCs w:val="16"/>
      </w:rPr>
      <w:t xml:space="preserve">Élaboré par Alexandra </w:t>
    </w:r>
    <w:proofErr w:type="spellStart"/>
    <w:r w:rsidRPr="003D2354">
      <w:rPr>
        <w:rFonts w:ascii="Lucida Calligraphy" w:hAnsi="Lucida Calligraphy"/>
        <w:sz w:val="16"/>
        <w:szCs w:val="16"/>
      </w:rPr>
      <w:t>Fex</w:t>
    </w:r>
    <w:proofErr w:type="spellEnd"/>
    <w:r w:rsidRPr="003D2354">
      <w:rPr>
        <w:rFonts w:ascii="Lucida Calligraphy" w:hAnsi="Lucida Calligraphy"/>
        <w:sz w:val="16"/>
        <w:szCs w:val="16"/>
      </w:rPr>
      <w:t xml:space="preserve"> Bsc.inf. Enseignante CFP Performance Plus</w:t>
    </w:r>
  </w:p>
  <w:p w:rsidR="003D2354" w:rsidRPr="003D2354" w:rsidRDefault="003D2354">
    <w:pPr>
      <w:pStyle w:val="Pieddepage"/>
      <w:rPr>
        <w:rFonts w:ascii="Lucida Calligraphy" w:hAnsi="Lucida Calligraphy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4" w:rsidRDefault="003D23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54" w:rsidRDefault="003D2354" w:rsidP="003D2354">
      <w:pPr>
        <w:spacing w:after="0" w:line="240" w:lineRule="auto"/>
      </w:pPr>
      <w:r>
        <w:separator/>
      </w:r>
    </w:p>
  </w:footnote>
  <w:footnote w:type="continuationSeparator" w:id="0">
    <w:p w:rsidR="003D2354" w:rsidRDefault="003D2354" w:rsidP="003D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4" w:rsidRDefault="003D23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4" w:rsidRDefault="003D235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54" w:rsidRDefault="003D23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ED"/>
    <w:rsid w:val="000452F8"/>
    <w:rsid w:val="003D2354"/>
    <w:rsid w:val="004B3CE3"/>
    <w:rsid w:val="006E02C4"/>
    <w:rsid w:val="00A051B2"/>
    <w:rsid w:val="00BE63AC"/>
    <w:rsid w:val="00C4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23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354"/>
  </w:style>
  <w:style w:type="paragraph" w:styleId="Pieddepage">
    <w:name w:val="footer"/>
    <w:basedOn w:val="Normal"/>
    <w:link w:val="PieddepageCar"/>
    <w:uiPriority w:val="99"/>
    <w:unhideWhenUsed/>
    <w:rsid w:val="003D23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354"/>
  </w:style>
  <w:style w:type="paragraph" w:styleId="Textedebulles">
    <w:name w:val="Balloon Text"/>
    <w:basedOn w:val="Normal"/>
    <w:link w:val="TextedebullesCar"/>
    <w:uiPriority w:val="99"/>
    <w:semiHidden/>
    <w:unhideWhenUsed/>
    <w:rsid w:val="003D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2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23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354"/>
  </w:style>
  <w:style w:type="paragraph" w:styleId="Pieddepage">
    <w:name w:val="footer"/>
    <w:basedOn w:val="Normal"/>
    <w:link w:val="PieddepageCar"/>
    <w:uiPriority w:val="99"/>
    <w:unhideWhenUsed/>
    <w:rsid w:val="003D23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354"/>
  </w:style>
  <w:style w:type="paragraph" w:styleId="Textedebulles">
    <w:name w:val="Balloon Text"/>
    <w:basedOn w:val="Normal"/>
    <w:link w:val="TextedebullesCar"/>
    <w:uiPriority w:val="99"/>
    <w:semiHidden/>
    <w:unhideWhenUsed/>
    <w:rsid w:val="003D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dcterms:created xsi:type="dcterms:W3CDTF">2014-04-13T00:36:00Z</dcterms:created>
  <dcterms:modified xsi:type="dcterms:W3CDTF">2017-10-09T18:40:00Z</dcterms:modified>
</cp:coreProperties>
</file>