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 de la leçon 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Planifier</w:t>
      </w:r>
      <w:r w:rsidDel="00000000" w:rsidR="00000000" w:rsidRPr="00000000">
        <w:rPr>
          <w:rtl w:val="0"/>
        </w:rPr>
        <w:t xml:space="preserve"> (analyser) un ou des voyages en milieu urbain qui seront utilisés comme parcours à suivre en conduite durant les périodes de pratique de la </w:t>
      </w:r>
      <w:r w:rsidDel="00000000" w:rsidR="00000000" w:rsidRPr="00000000">
        <w:rPr>
          <w:rtl w:val="0"/>
        </w:rPr>
        <w:t xml:space="preserve">compétence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En équipe</w:t>
      </w:r>
      <w:r w:rsidDel="00000000" w:rsidR="00000000" w:rsidRPr="00000000">
        <w:rPr>
          <w:rtl w:val="0"/>
        </w:rPr>
        <w:t xml:space="preserve"> de deux, vous devrez analyser des itinéraires à partir des informations contenues dans un scénario de transport et remplir une grille de planification d’un voyage.</w:t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Description de la marche à suivre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Votre </w:t>
      </w:r>
      <w:r w:rsidDel="00000000" w:rsidR="00000000" w:rsidRPr="00000000">
        <w:rPr>
          <w:rtl w:val="0"/>
        </w:rPr>
        <w:t xml:space="preserve">répartiteur</w:t>
      </w:r>
      <w:r w:rsidDel="00000000" w:rsidR="00000000" w:rsidRPr="00000000">
        <w:rPr>
          <w:rtl w:val="0"/>
        </w:rPr>
        <w:t xml:space="preserve"> (enseignant) vous donne des rues ou routes par lesquelles vous pourrez circuler ainsi que les informations contenues dans des scénarios de transport. Vous devez planifier le voyage et remplir une grille </w:t>
      </w:r>
      <w:r w:rsidDel="00000000" w:rsidR="00000000" w:rsidRPr="00000000">
        <w:rPr>
          <w:rtl w:val="0"/>
        </w:rPr>
        <w:t xml:space="preserve">prévu</w:t>
      </w:r>
      <w:r w:rsidDel="00000000" w:rsidR="00000000" w:rsidRPr="00000000">
        <w:rPr>
          <w:rtl w:val="0"/>
        </w:rPr>
        <w:t xml:space="preserve">e pour chaque voyage (</w:t>
      </w:r>
      <w:r w:rsidDel="00000000" w:rsidR="00000000" w:rsidRPr="00000000">
        <w:rPr>
          <w:rtl w:val="0"/>
        </w:rPr>
        <w:t xml:space="preserve">chaque élève remplit</w:t>
      </w:r>
      <w:r w:rsidDel="00000000" w:rsidR="00000000" w:rsidRPr="00000000">
        <w:rPr>
          <w:rtl w:val="0"/>
        </w:rPr>
        <w:t xml:space="preserve"> sa propre grille). </w:t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Vous devez aussi prendre en compte votre type de transport et noter les particularités.</w:t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Ensuite, vous devrez valider votre trajet. Vérifiez si vous respectez la réglementation (exemple : les transits, un tunnel en rapport avec des M.D., etc.) et vérifiez aussi que les espaces pour effectuer les virages sont convenables.</w:t>
      </w:r>
    </w:p>
    <w:p w:rsidR="00000000" w:rsidDel="00000000" w:rsidP="00000000" w:rsidRDefault="00000000" w:rsidRPr="00000000" w14:paraId="0000000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Quelques conseils pour la planification d’un voyage en milieu urbain</w:t>
      </w:r>
    </w:p>
    <w:p w:rsidR="00000000" w:rsidDel="00000000" w:rsidP="00000000" w:rsidRDefault="00000000" w:rsidRPr="00000000" w14:paraId="0000000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Vous pouvez utiliser des cartes traditionnelles ainsi que des cartes électroniques incluant la carte interactive du réseau de camionnage. Utilisez l</w:t>
      </w:r>
      <w:r w:rsidDel="00000000" w:rsidR="00000000" w:rsidRPr="00000000">
        <w:rPr>
          <w:rtl w:val="0"/>
        </w:rPr>
        <w:t xml:space="preserve">’outil</w:t>
      </w:r>
      <w:r w:rsidDel="00000000" w:rsidR="00000000" w:rsidRPr="00000000">
        <w:rPr>
          <w:rtl w:val="0"/>
        </w:rPr>
        <w:t xml:space="preserve"> que vous voulez en tenant compte de vos besoins afin de voir ce que vous avez à consulter au sujet des endroits stratégiques du parcours proposé. N’oubliez pas que vous devez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inscrire des repères afin </w:t>
      </w:r>
      <w:r w:rsidDel="00000000" w:rsidR="00000000" w:rsidRPr="00000000">
        <w:rPr>
          <w:rtl w:val="0"/>
        </w:rPr>
        <w:t xml:space="preserve">de pouvoir</w:t>
      </w:r>
      <w:r w:rsidDel="00000000" w:rsidR="00000000" w:rsidRPr="00000000">
        <w:rPr>
          <w:rtl w:val="0"/>
        </w:rPr>
        <w:t xml:space="preserve"> anticiper à quels endroits ou les moments où il y aura des virages à effectuer. Lors de la mise en pratique, l’enseignant vous aidera, durant le parcours, afin de vous suggérer des points stratégiques.</w:t>
      </w:r>
    </w:p>
    <w:p w:rsidR="00000000" w:rsidDel="00000000" w:rsidP="00000000" w:rsidRDefault="00000000" w:rsidRPr="00000000" w14:paraId="0000000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Concernant les repères</w:t>
      </w:r>
    </w:p>
    <w:p w:rsidR="00000000" w:rsidDel="00000000" w:rsidP="00000000" w:rsidRDefault="00000000" w:rsidRPr="00000000" w14:paraId="00000011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850.3937007874017" w:hanging="283.4645669291342"/>
        <w:jc w:val="both"/>
        <w:rPr/>
      </w:pPr>
      <w:r w:rsidDel="00000000" w:rsidR="00000000" w:rsidRPr="00000000">
        <w:rPr>
          <w:rtl w:val="0"/>
        </w:rPr>
        <w:t xml:space="preserve">Un indice que la prochaine </w:t>
      </w:r>
      <w:r w:rsidDel="00000000" w:rsidR="00000000" w:rsidRPr="00000000">
        <w:rPr>
          <w:rtl w:val="0"/>
        </w:rPr>
        <w:t xml:space="preserve">route ou rue</w:t>
      </w:r>
      <w:r w:rsidDel="00000000" w:rsidR="00000000" w:rsidRPr="00000000">
        <w:rPr>
          <w:rtl w:val="0"/>
        </w:rPr>
        <w:t xml:space="preserve"> à prendre se rapproche. Exemple : le numéro de sortie sur l’autoroute, le nom de la rue </w:t>
      </w:r>
      <w:r w:rsidDel="00000000" w:rsidR="00000000" w:rsidRPr="00000000">
        <w:rPr>
          <w:b w:val="1"/>
          <w:u w:val="single"/>
          <w:rtl w:val="0"/>
        </w:rPr>
        <w:t xml:space="preserve">avant</w:t>
      </w:r>
      <w:r w:rsidDel="00000000" w:rsidR="00000000" w:rsidRPr="00000000">
        <w:rPr>
          <w:rtl w:val="0"/>
        </w:rPr>
        <w:t xml:space="preserve"> celle que je dois prendre, le nom d’un commerce qu’il y a </w:t>
      </w:r>
      <w:r w:rsidDel="00000000" w:rsidR="00000000" w:rsidRPr="00000000">
        <w:rPr>
          <w:b w:val="1"/>
          <w:u w:val="single"/>
          <w:rtl w:val="0"/>
        </w:rPr>
        <w:t xml:space="preserve">avant</w:t>
      </w:r>
      <w:r w:rsidDel="00000000" w:rsidR="00000000" w:rsidRPr="00000000">
        <w:rPr>
          <w:rtl w:val="0"/>
        </w:rPr>
        <w:t xml:space="preserve"> la rue à prendre, une rivière, un pont, etc. Bref, tout ce qui est visible sur une carte papier ou électronique qu’il y a </w:t>
      </w:r>
      <w:r w:rsidDel="00000000" w:rsidR="00000000" w:rsidRPr="00000000">
        <w:rPr>
          <w:b w:val="1"/>
          <w:u w:val="single"/>
          <w:rtl w:val="0"/>
        </w:rPr>
        <w:t xml:space="preserve">avant</w:t>
      </w:r>
      <w:r w:rsidDel="00000000" w:rsidR="00000000" w:rsidRPr="00000000">
        <w:rPr>
          <w:rtl w:val="0"/>
        </w:rPr>
        <w:t xml:space="preserve"> notre jonction (JCT) de route à prendre qui sera visible sur le terrain.</w:t>
      </w:r>
    </w:p>
    <w:p w:rsidR="00000000" w:rsidDel="00000000" w:rsidP="00000000" w:rsidRDefault="00000000" w:rsidRPr="00000000" w14:paraId="00000013">
      <w:pPr>
        <w:pageBreakBefore w:val="0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850.3937007874017" w:hanging="283.4645669291342"/>
        <w:jc w:val="both"/>
        <w:rPr/>
      </w:pPr>
      <w:r w:rsidDel="00000000" w:rsidR="00000000" w:rsidRPr="00000000">
        <w:rPr>
          <w:rtl w:val="0"/>
        </w:rPr>
        <w:t xml:space="preserve">Déterminer la direction à prendre par points cardinaux ou par désignation de gauche ou droite en mot ou par un dessin.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 du chauffeur :</w:t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de camion :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de semi-remorque :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de chargement et poids :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3000"/>
        <w:gridCol w:w="1665"/>
        <w:gridCol w:w="4395"/>
        <w:tblGridChange w:id="0">
          <w:tblGrid>
            <w:gridCol w:w="1275"/>
            <w:gridCol w:w="3000"/>
            <w:gridCol w:w="1665"/>
            <w:gridCol w:w="439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Document de planification d’un voyage en milieu urbain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ffffff" w:space="0" w:sz="8" w:val="single"/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Endroits prévus pour le repas ou les pauses, s’il y a lieu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Étape 12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pageBreakBefore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Rétroaction du travail de l’élève faite par l’enseignant après avoir analysé sa planification</w:t>
      </w:r>
    </w:p>
    <w:p w:rsidR="00000000" w:rsidDel="00000000" w:rsidP="00000000" w:rsidRDefault="00000000" w:rsidRPr="00000000" w14:paraId="00000066">
      <w:pPr>
        <w:pageBreakBefore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 de l’enseignant :</w:t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Rétroaction à faire en se basant sur les critères suivants :</w:t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Recherches faites de façon individuelle sans constante collaboration des pairs;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Repères clairs et crédibles qui </w:t>
      </w:r>
      <w:r w:rsidDel="00000000" w:rsidR="00000000" w:rsidRPr="00000000">
        <w:rPr>
          <w:sz w:val="24"/>
          <w:szCs w:val="24"/>
          <w:rtl w:val="0"/>
        </w:rPr>
        <w:t xml:space="preserve">mène</w:t>
      </w:r>
      <w:r w:rsidDel="00000000" w:rsidR="00000000" w:rsidRPr="00000000">
        <w:rPr>
          <w:sz w:val="24"/>
          <w:szCs w:val="24"/>
          <w:rtl w:val="0"/>
        </w:rPr>
        <w:t xml:space="preserve">nt à bien situer l’itinéraire;</w:t>
      </w:r>
    </w:p>
    <w:p w:rsidR="00000000" w:rsidDel="00000000" w:rsidP="00000000" w:rsidRDefault="00000000" w:rsidRPr="00000000" w14:paraId="00000073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Travail méthodique et méticuleux;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Combinaison d’outils </w:t>
      </w:r>
      <w:r w:rsidDel="00000000" w:rsidR="00000000" w:rsidRPr="00000000">
        <w:rPr>
          <w:sz w:val="24"/>
          <w:szCs w:val="24"/>
          <w:rtl w:val="0"/>
        </w:rPr>
        <w:t xml:space="preserve">électronique</w:t>
      </w:r>
      <w:r w:rsidDel="00000000" w:rsidR="00000000" w:rsidRPr="00000000">
        <w:rPr>
          <w:sz w:val="24"/>
          <w:szCs w:val="24"/>
          <w:rtl w:val="0"/>
        </w:rPr>
        <w:t xml:space="preserve">s avec outils </w:t>
      </w:r>
      <w:r w:rsidDel="00000000" w:rsidR="00000000" w:rsidRPr="00000000">
        <w:rPr>
          <w:sz w:val="24"/>
          <w:szCs w:val="24"/>
          <w:rtl w:val="0"/>
        </w:rPr>
        <w:t xml:space="preserve">papier</w:t>
      </w:r>
      <w:r w:rsidDel="00000000" w:rsidR="00000000" w:rsidRPr="00000000">
        <w:rPr>
          <w:sz w:val="24"/>
          <w:szCs w:val="24"/>
          <w:rtl w:val="0"/>
        </w:rPr>
        <w:t xml:space="preserve"> lorsque nécessaire;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Rédaction lisible;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numPr>
          <w:ilvl w:val="0"/>
          <w:numId w:val="3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Stratégies d’utilisation de ses outils (cartes électroniques, cartes papier, moteurs de recherche Internet,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Rétroaction de l’enseignant :</w:t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7"/>
        <w:tblGridChange w:id="0">
          <w:tblGrid>
            <w:gridCol w:w="9667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.0000000000002" w:top="1440.0000000000002" w:left="1133.8582677165355" w:right="1440.0000000000002" w:header="0" w:footer="566.9291338582677"/>
      <w:pgNumType w:start="63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pageBreakBefore w:val="0"/>
      <w:tabs>
        <w:tab w:val="right" w:leader="none" w:pos="9636.141732283466"/>
      </w:tabs>
      <w:rPr/>
    </w:pPr>
    <w:r w:rsidDel="00000000" w:rsidR="00000000" w:rsidRPr="00000000">
      <w:rPr>
        <w:b w:val="1"/>
        <w:rtl w:val="0"/>
      </w:rPr>
      <w:t xml:space="preserve">(6.9)</w:t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pageBreakBefore w:val="0"/>
      <w:rPr>
        <w:b w:val="1"/>
      </w:rPr>
    </w:pPr>
    <w:r w:rsidDel="00000000" w:rsidR="00000000" w:rsidRPr="00000000">
      <w:rPr>
        <w:b w:val="1"/>
        <w:rtl w:val="0"/>
      </w:rPr>
      <w:t xml:space="preserve">(6.9)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-552449</wp:posOffset>
          </wp:positionH>
          <wp:positionV relativeFrom="paragraph">
            <wp:posOffset>-247649</wp:posOffset>
          </wp:positionV>
          <wp:extent cx="633413" cy="593196"/>
          <wp:effectExtent b="0" l="0" r="0" t="0"/>
          <wp:wrapSquare wrapText="bothSides" distB="114300" distT="114300" distL="114300" distR="11430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413" cy="5931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1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5115600</wp:posOffset>
          </wp:positionH>
          <wp:positionV relativeFrom="paragraph">
            <wp:posOffset>216000</wp:posOffset>
          </wp:positionV>
          <wp:extent cx="828675" cy="314325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5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-581024</wp:posOffset>
          </wp:positionH>
          <wp:positionV relativeFrom="paragraph">
            <wp:posOffset>285750</wp:posOffset>
          </wp:positionV>
          <wp:extent cx="633413" cy="593196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413" cy="5931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Style w:val="Title"/>
      <w:pageBreakBefore w:val="0"/>
      <w:pBdr>
        <w:top w:color="ffffff" w:space="2" w:sz="8" w:val="single"/>
      </w:pBdr>
      <w:ind w:left="-141.73228346456688" w:firstLine="425.1968503937007"/>
      <w:rPr>
        <w:b w:val="1"/>
        <w:sz w:val="44"/>
        <w:szCs w:val="44"/>
      </w:rPr>
    </w:pPr>
    <w:bookmarkStart w:colFirst="0" w:colLast="0" w:name="_7c2gftrb5eie" w:id="0"/>
    <w:bookmarkEnd w:id="0"/>
    <w:r w:rsidDel="00000000" w:rsidR="00000000" w:rsidRPr="00000000">
      <w:rPr>
        <w:b w:val="1"/>
        <w:sz w:val="44"/>
        <w:szCs w:val="44"/>
        <w:rtl w:val="0"/>
      </w:rPr>
      <w:t xml:space="preserve">Compétence 6</w:t>
    </w:r>
  </w:p>
  <w:tbl>
    <w:tblPr>
      <w:tblStyle w:val="Table3"/>
      <w:tblW w:w="10215.0" w:type="dxa"/>
      <w:jc w:val="left"/>
      <w:tblInd w:w="180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325"/>
      <w:gridCol w:w="4890"/>
      <w:tblGridChange w:id="0">
        <w:tblGrid>
          <w:gridCol w:w="5325"/>
          <w:gridCol w:w="4890"/>
        </w:tblGrid>
      </w:tblGridChange>
    </w:tblGrid>
    <w:tr>
      <w:trPr>
        <w:cantSplit w:val="0"/>
        <w:trHeight w:val="840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B">
          <w:pPr>
            <w:pStyle w:val="Subtitle"/>
            <w:pageBreakBefore w:val="0"/>
            <w:widowControl w:val="0"/>
            <w:spacing w:line="240" w:lineRule="auto"/>
            <w:rPr>
              <w:b w:val="1"/>
              <w:color w:val="000000"/>
              <w:sz w:val="24"/>
              <w:szCs w:val="24"/>
            </w:rPr>
          </w:pPr>
          <w:bookmarkStart w:colFirst="0" w:colLast="0" w:name="_1a4oqvyzcfjz" w:id="1"/>
          <w:bookmarkEnd w:id="1"/>
          <w:r w:rsidDel="00000000" w:rsidR="00000000" w:rsidRPr="00000000">
            <w:rPr>
              <w:b w:val="1"/>
              <w:color w:val="000000"/>
              <w:sz w:val="24"/>
              <w:szCs w:val="24"/>
              <w:rtl w:val="0"/>
            </w:rPr>
            <w:t xml:space="preserve">Planification d’un voyage en milieu urbain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e59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both"/>
            <w:rPr>
              <w:sz w:val="20"/>
              <w:szCs w:val="20"/>
            </w:rPr>
          </w:pPr>
          <w:r w:rsidDel="00000000" w:rsidR="00000000" w:rsidRPr="00000000">
            <w:rPr>
              <w:b w:val="1"/>
              <w:sz w:val="20"/>
              <w:szCs w:val="20"/>
              <w:rtl w:val="0"/>
            </w:rPr>
            <w:t xml:space="preserve">Objectif de la leçon :</w:t>
          </w:r>
          <w:r w:rsidDel="00000000" w:rsidR="00000000" w:rsidRPr="00000000">
            <w:rPr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8D">
          <w:pPr>
            <w:keepNext w:val="0"/>
            <w:keepLines w:val="0"/>
            <w:pageBreakBefore w:val="0"/>
            <w:widowControl w:val="0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425.19685039370046" w:right="0" w:hanging="360"/>
            <w:jc w:val="both"/>
            <w:rPr>
              <w:sz w:val="20"/>
              <w:szCs w:val="20"/>
              <w:u w:val="none"/>
            </w:rPr>
          </w:pPr>
          <w:r w:rsidDel="00000000" w:rsidR="00000000" w:rsidRPr="00000000">
            <w:rPr>
              <w:sz w:val="20"/>
              <w:szCs w:val="20"/>
              <w:rtl w:val="0"/>
            </w:rPr>
            <w:t xml:space="preserve">Planifier (analyser) un ou des voyages en milieu urbain qui seront utilisés durant les périodes de pratique de conduite comme parcours à suivre</w:t>
          </w:r>
        </w:p>
      </w:tc>
    </w:tr>
  </w:tbl>
  <w:p w:rsidR="00000000" w:rsidDel="00000000" w:rsidP="00000000" w:rsidRDefault="00000000" w:rsidRPr="00000000" w14:paraId="0000008E">
    <w:pPr>
      <w:pStyle w:val="Subtitle"/>
      <w:pageBreakBefore w:val="0"/>
      <w:rPr>
        <w:sz w:val="24"/>
        <w:szCs w:val="24"/>
      </w:rPr>
    </w:pPr>
    <w:bookmarkStart w:colFirst="0" w:colLast="0" w:name="_yyzoiyq6vlxa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628D0-DB11-41A6-B846-BE00ABF48574}"/>
</file>

<file path=customXml/itemProps2.xml><?xml version="1.0" encoding="utf-8"?>
<ds:datastoreItem xmlns:ds="http://schemas.openxmlformats.org/officeDocument/2006/customXml" ds:itemID="{76101CB4-E5EC-4FC8-8968-32BA4A6A1329}"/>
</file>

<file path=customXml/itemProps3.xml><?xml version="1.0" encoding="utf-8"?>
<ds:datastoreItem xmlns:ds="http://schemas.openxmlformats.org/officeDocument/2006/customXml" ds:itemID="{CE29FD09-64EB-4552-9958-1294B237A9A4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