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Étapes pour bloquer des applications dans une tablette IPad.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Ceci est la procédure pour bloquer les tablettes IPad lors des évaluations ou formation avec l’utilisation des tablettes par les élèves.</w:t>
      </w:r>
    </w:p>
    <w:p w:rsidR="00000000" w:rsidDel="00000000" w:rsidP="00000000" w:rsidRDefault="00000000" w:rsidRPr="00000000" w14:paraId="0000000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Les chemin à parcourir pour bloquer: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Réglages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Général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Accessibilité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Accès guidé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Activer l’accès guidé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Sortir de l’application Réglage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Ouvrir l’application voulu. Exemple: Google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Cliquer 3 fois de file sur le bouton principal et entrez un code que vous souhaitez (Mémoriser-le. ne pas l'oublier).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Entourer les zones de l’application que vous voulez bloqué.</w:t>
      </w:r>
    </w:p>
    <w:p w:rsidR="00000000" w:rsidDel="00000000" w:rsidP="00000000" w:rsidRDefault="00000000" w:rsidRPr="00000000" w14:paraId="0000000F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jc w:val="both"/>
        <w:rPr/>
      </w:pPr>
      <w:r w:rsidDel="00000000" w:rsidR="00000000" w:rsidRPr="00000000">
        <w:rPr>
          <w:rtl w:val="0"/>
        </w:rPr>
        <w:t xml:space="preserve">Lorsque vous voulez enlever le blocage: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Cliquer sur l’application en cause.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Cliquer encore 3 fois sur le bouton principale.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Supprimer les zones entourées en cliquant sur le ‘’X’’.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Sortir de l’application.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96ACDD-05B0-425F-AF1B-B6337BF74981}"/>
</file>

<file path=customXml/itemProps2.xml><?xml version="1.0" encoding="utf-8"?>
<ds:datastoreItem xmlns:ds="http://schemas.openxmlformats.org/officeDocument/2006/customXml" ds:itemID="{850DC254-F842-452A-938B-7CCAFED0B498}"/>
</file>

<file path=customXml/itemProps3.xml><?xml version="1.0" encoding="utf-8"?>
<ds:datastoreItem xmlns:ds="http://schemas.openxmlformats.org/officeDocument/2006/customXml" ds:itemID="{5714E93B-43E9-499F-ACEC-4AB0F43BD403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