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moment servira à réviser le contenu des leçons</w:t>
      </w:r>
      <w:r w:rsidDel="00000000" w:rsidR="00000000" w:rsidRPr="00000000">
        <w:rPr>
          <w:sz w:val="24"/>
          <w:szCs w:val="24"/>
          <w:rtl w:val="0"/>
        </w:rPr>
        <w:t xml:space="preserve"> 6.1, 6.2, 6.4, 6.6 et 6.9.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Selon les besoins (difficultés) en lien avec les leçons</w:t>
      </w:r>
      <w:r w:rsidDel="00000000" w:rsidR="00000000" w:rsidRPr="00000000">
        <w:rPr>
          <w:sz w:val="24"/>
          <w:szCs w:val="24"/>
          <w:rtl w:val="0"/>
        </w:rPr>
        <w:t xml:space="preserve"> 6.1, 6.2, 6.4, 6.6 et 6.9, l’enseignant vous fournira le matériel nécessaire (un questionnaire, des grilles de planification, des billets de connaissement, des billets de livraison, etc.).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 des leçons à récupérer.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830"/>
          <w:tab w:val="left" w:leader="none" w:pos="124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Leçon 6.1 - Info Voyage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830"/>
          <w:tab w:val="left" w:leader="none" w:pos="1240"/>
        </w:tabs>
        <w:spacing w:line="240" w:lineRule="auto"/>
        <w:rPr/>
      </w:pPr>
      <w:r w:rsidDel="00000000" w:rsidR="00000000" w:rsidRPr="00000000">
        <w:rPr>
          <w:rtl w:val="0"/>
        </w:rPr>
        <w:t xml:space="preserve">Leçon 6.2 - Carte provinciale traditionnelle et structure du réseau routier québécois          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830"/>
          <w:tab w:val="left" w:leader="none" w:pos="1240"/>
        </w:tabs>
        <w:spacing w:line="240" w:lineRule="auto"/>
        <w:rPr/>
      </w:pPr>
      <w:r w:rsidDel="00000000" w:rsidR="00000000" w:rsidRPr="00000000">
        <w:rPr>
          <w:rtl w:val="0"/>
        </w:rPr>
        <w:t xml:space="preserve">Leçon 6.4 - Carte municipale traditionnelle </w:t>
      </w:r>
      <w:r w:rsidDel="00000000" w:rsidR="00000000" w:rsidRPr="00000000">
        <w:rPr>
          <w:i w:val="1"/>
          <w:rtl w:val="0"/>
        </w:rPr>
        <w:t xml:space="preserve">(aide à l’apprentissage)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                                               Leçon 6.6 - Fonctionnement d’une carte routière électronique              </w:t>
        <w:tab/>
        <w:tab/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830"/>
          <w:tab w:val="left" w:leader="none" w:pos="1240"/>
        </w:tabs>
        <w:spacing w:line="240" w:lineRule="auto"/>
        <w:rPr/>
      </w:pPr>
      <w:r w:rsidDel="00000000" w:rsidR="00000000" w:rsidRPr="00000000">
        <w:rPr>
          <w:rtl w:val="0"/>
        </w:rPr>
        <w:t xml:space="preserve">Leçon 6.9 - Planifier le voyage en milieu urbain                                                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830"/>
          <w:tab w:val="left" w:leader="none" w:pos="1240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Bonne révision!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.0000000000002" w:top="1440.0000000000002" w:left="1440.0000000000002" w:right="1440.0000000000002" w:header="0" w:footer="566.9291338582677"/>
      <w:pgNumType w:start="6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tabs>
        <w:tab w:val="right" w:leader="none" w:pos="9345"/>
      </w:tabs>
      <w:rPr/>
    </w:pPr>
    <w:r w:rsidDel="00000000" w:rsidR="00000000" w:rsidRPr="00000000">
      <w:rPr>
        <w:b w:val="1"/>
        <w:rtl w:val="0"/>
      </w:rPr>
      <w:t xml:space="preserve">(6.8)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-876299</wp:posOffset>
          </wp:positionH>
          <wp:positionV relativeFrom="paragraph">
            <wp:posOffset>104775</wp:posOffset>
          </wp:positionV>
          <wp:extent cx="1090613" cy="1090613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255" r="4255" t="0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</w:p>
  <w:tbl>
    <w:tblPr>
      <w:tblStyle w:val="Table1"/>
      <w:tblW w:w="1024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075"/>
      <w:gridCol w:w="4170"/>
      <w:tblGridChange w:id="0">
        <w:tblGrid>
          <w:gridCol w:w="6075"/>
          <w:gridCol w:w="4170"/>
        </w:tblGrid>
      </w:tblGridChange>
    </w:tblGrid>
    <w:tr>
      <w:trPr>
        <w:cantSplit w:val="0"/>
        <w:trHeight w:val="58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ageBreakBefore w:val="0"/>
            <w:tabs>
              <w:tab w:val="left" w:leader="none" w:pos="830"/>
              <w:tab w:val="left" w:leader="none" w:pos="1240"/>
            </w:tabs>
            <w:spacing w:line="240" w:lineRule="auto"/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Récupération préventive 1 de 2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b w:val="1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 de la leçon :</w:t>
          </w:r>
        </w:p>
        <w:p w:rsidR="00000000" w:rsidDel="00000000" w:rsidP="00000000" w:rsidRDefault="00000000" w:rsidRPr="00000000" w14:paraId="00000013">
          <w:pPr>
            <w:pageBreakBefore w:val="0"/>
            <w:widowControl w:val="0"/>
            <w:numPr>
              <w:ilvl w:val="0"/>
              <w:numId w:val="1"/>
            </w:numPr>
            <w:spacing w:line="240" w:lineRule="auto"/>
            <w:ind w:left="470.5511811023622" w:hanging="357.1653543307087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Récupérer les éléments de compétence particuliers et déficients du ou des élèves en difficulté faisant référence aux leçons précédentes</w:t>
          </w:r>
        </w:p>
      </w:tc>
    </w:tr>
  </w:tbl>
  <w:p w:rsidR="00000000" w:rsidDel="00000000" w:rsidP="00000000" w:rsidRDefault="00000000" w:rsidRPr="00000000" w14:paraId="00000014">
    <w:pPr>
      <w:pStyle w:val="Subtitle"/>
      <w:pageBreakBefore w:val="0"/>
      <w:rPr>
        <w:sz w:val="24"/>
        <w:szCs w:val="24"/>
      </w:rPr>
    </w:pPr>
    <w:bookmarkStart w:colFirst="0" w:colLast="0" w:name="_yyzoiyq6vlxa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9D1A8-69BE-41EA-BFB3-6946D9D84777}"/>
</file>

<file path=customXml/itemProps2.xml><?xml version="1.0" encoding="utf-8"?>
<ds:datastoreItem xmlns:ds="http://schemas.openxmlformats.org/officeDocument/2006/customXml" ds:itemID="{337A3912-65AF-4102-95DD-D048073056DB}"/>
</file>

<file path=customXml/itemProps3.xml><?xml version="1.0" encoding="utf-8"?>
<ds:datastoreItem xmlns:ds="http://schemas.openxmlformats.org/officeDocument/2006/customXml" ds:itemID="{6EFCF57C-0EB6-478A-9288-89B3BA1A920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