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C1D6" w14:textId="77777777" w:rsidR="00D7463F" w:rsidRDefault="00D7463F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D7463F" w14:paraId="6125E27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A01326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2.3.3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0B5B91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49D71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Transmission du mouvement </w:t>
            </w:r>
          </w:p>
          <w:p w14:paraId="2AD8FB1A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les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transmissions automatisées et automatiques)</w:t>
            </w:r>
          </w:p>
        </w:tc>
      </w:tr>
      <w:tr w:rsidR="00D7463F" w14:paraId="27256AFE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6D0CA1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8A2E77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D7463F" w14:paraId="2D014439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864AFE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F7DF5E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4104F8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68869F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7463F" w14:paraId="209B1CE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31CF8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le type de transmissions, automatisée ou automatique, ainsi que leurs capacités selon les applications à l’utilisation.</w:t>
            </w:r>
          </w:p>
        </w:tc>
      </w:tr>
      <w:tr w:rsidR="00D7463F" w14:paraId="607CE0EB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B09657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4924D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ED4FD8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1CC9F6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7463F" w14:paraId="05AD3DE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CD8FA2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0C01C9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différents sélecteurs de commandes d’opérations des transmissions automatisées et automatiques.</w:t>
            </w:r>
          </w:p>
        </w:tc>
      </w:tr>
      <w:tr w:rsidR="00D7463F" w14:paraId="5293880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2BD3FA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700599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principes de fonctionnement généraux des transmissions automatisées et automatiques (principe de sélection du mode automatique ou manuel des engrenages par le chauffeur).</w:t>
            </w:r>
          </w:p>
        </w:tc>
      </w:tr>
      <w:tr w:rsidR="00D7463F" w14:paraId="20DEF94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5B53C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965F9E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 xml:space="preserve">Reconnaître les problèmes potentiels dû à une mauvaise utilisation des transmissions automatisées et automatiques. Reconnaître les principes physiques en lien. (Inertie et friction). </w:t>
            </w:r>
          </w:p>
        </w:tc>
      </w:tr>
      <w:tr w:rsidR="00D7463F" w14:paraId="3CA8C72F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0F0090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23B784A3" wp14:editId="52681D3B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57150</wp:posOffset>
                  </wp:positionV>
                  <wp:extent cx="376238" cy="363696"/>
                  <wp:effectExtent l="0" t="0" r="0" b="0"/>
                  <wp:wrapSquare wrapText="bothSides" distT="0" distB="0" distL="0" distR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3636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9560A0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Les techniques d’opérations plus particulières, propres à chacun des modèles de transmission, seront décrites durant les pratiques dans les camions.</w:t>
            </w:r>
          </w:p>
        </w:tc>
      </w:tr>
      <w:tr w:rsidR="00D7463F" w14:paraId="18FBDDD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D6D28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 w:rsidR="0076482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95DB8B9" w14:textId="77777777" w:rsidR="0076482F" w:rsidRDefault="0076482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1EE2B32" w14:textId="720C2109" w:rsidR="0076482F" w:rsidRPr="0076482F" w:rsidRDefault="0076482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6482F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D7463F" w14:paraId="08BDFFCD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083337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 w:rsidR="00400543">
                <w:rPr>
                  <w:rFonts w:ascii="Arial" w:eastAsia="Arial" w:hAnsi="Arial" w:cs="Arial"/>
                  <w:color w:val="1155CC"/>
                  <w:u w:val="single"/>
                </w:rPr>
                <w:t>Document de référence de l’enseignant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1A830" w14:textId="77777777" w:rsidR="00D7463F" w:rsidRDefault="00D7463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7463F" w14:paraId="5EF69F57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0AFE16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>Liens en références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C28F0C" w14:textId="77777777" w:rsidR="00D7463F" w:rsidRDefault="00D7463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7463F" w14:paraId="2494AB8D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4BC098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2867F4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28C23A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AFE299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7463F" w14:paraId="0CF6DF4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85FAE3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D7463F" w14:paraId="2AE766ED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ED612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D7463F" w14:paraId="4982286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646BA4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Présentation Google Slides et questionnaire dans le cahier de l’élève.</w:t>
            </w:r>
          </w:p>
        </w:tc>
      </w:tr>
      <w:tr w:rsidR="00D7463F" w14:paraId="2815967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53D4C0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Documents supplémentaires:</w:t>
            </w:r>
          </w:p>
        </w:tc>
      </w:tr>
      <w:tr w:rsidR="00D7463F" w14:paraId="671F1690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AA028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9">
              <w:proofErr w:type="spellStart"/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>Ultrashift</w:t>
              </w:r>
              <w:proofErr w:type="spellEnd"/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 Plus</w:t>
              </w:r>
            </w:hyperlink>
          </w:p>
        </w:tc>
      </w:tr>
      <w:tr w:rsidR="00D7463F" w14:paraId="6D3D6466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B19211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0"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>Eaton 12 vitesses</w:t>
              </w:r>
            </w:hyperlink>
          </w:p>
        </w:tc>
      </w:tr>
      <w:tr w:rsidR="00D7463F" w14:paraId="591E5709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418F2B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1"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>Eaton 12 vitesse Endurant</w:t>
              </w:r>
            </w:hyperlink>
          </w:p>
        </w:tc>
      </w:tr>
      <w:tr w:rsidR="00D7463F" w14:paraId="54F261A9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FDDC1E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2">
              <w:proofErr w:type="spellStart"/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>Ultrashift</w:t>
              </w:r>
              <w:proofErr w:type="spellEnd"/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 Plus 1110</w:t>
              </w:r>
            </w:hyperlink>
          </w:p>
        </w:tc>
      </w:tr>
      <w:tr w:rsidR="00D7463F" w14:paraId="24FD97F0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99667C" w14:textId="77777777" w:rsidR="00D7463F" w:rsidRDefault="00E717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3"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Vidéo </w:t>
              </w:r>
              <w:proofErr w:type="spellStart"/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>UltraShift</w:t>
              </w:r>
              <w:proofErr w:type="spellEnd"/>
              <w:r w:rsidR="00400543"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 Plus</w:t>
              </w:r>
            </w:hyperlink>
          </w:p>
        </w:tc>
      </w:tr>
    </w:tbl>
    <w:p w14:paraId="2FBA9374" w14:textId="77777777" w:rsidR="00D7463F" w:rsidRDefault="00D7463F">
      <w:pPr>
        <w:spacing w:after="0"/>
        <w:rPr>
          <w:rFonts w:ascii="Arial" w:eastAsia="Arial" w:hAnsi="Arial" w:cs="Arial"/>
        </w:rPr>
      </w:pPr>
    </w:p>
    <w:sectPr w:rsidR="00D7463F">
      <w:headerReference w:type="default" r:id="rId14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4E18" w14:textId="77777777" w:rsidR="00400543" w:rsidRDefault="00400543">
      <w:pPr>
        <w:spacing w:after="0" w:line="240" w:lineRule="auto"/>
      </w:pPr>
      <w:r>
        <w:separator/>
      </w:r>
    </w:p>
  </w:endnote>
  <w:endnote w:type="continuationSeparator" w:id="0">
    <w:p w14:paraId="5FF85787" w14:textId="77777777" w:rsidR="00400543" w:rsidRDefault="0040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4D3A" w14:textId="77777777" w:rsidR="00400543" w:rsidRDefault="00400543">
      <w:pPr>
        <w:spacing w:after="0" w:line="240" w:lineRule="auto"/>
      </w:pPr>
      <w:r>
        <w:separator/>
      </w:r>
    </w:p>
  </w:footnote>
  <w:footnote w:type="continuationSeparator" w:id="0">
    <w:p w14:paraId="143EA240" w14:textId="77777777" w:rsidR="00400543" w:rsidRDefault="0040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5573" w14:textId="77777777" w:rsidR="00D7463F" w:rsidRDefault="004005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06E4F8" wp14:editId="1F8ABFC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FD1A10" w14:textId="77777777" w:rsidR="00D7463F" w:rsidRDefault="004005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7CDD7FE5" w14:textId="77777777" w:rsidR="00D7463F" w:rsidRDefault="00D746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3F"/>
    <w:rsid w:val="00350F7C"/>
    <w:rsid w:val="00400543"/>
    <w:rsid w:val="0076482F"/>
    <w:rsid w:val="00D7463F"/>
    <w:rsid w:val="00E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59BC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4cY86iuZ4VtyCTDqhNtDMlB7HLuN9y76jyeKdogP6CQ/edit?usp=sharing" TargetMode="External"/><Relationship Id="rId13" Type="http://schemas.openxmlformats.org/officeDocument/2006/relationships/hyperlink" Target="https://drive.google.com/file/d/1x0EJAP8BqRO4H_VR0xuLSacka81gOp0i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6NawrVTLjFbYeXvdeZsMFHeB28vB5yzDtLVzTxb21cA/edit?usp=drive_link" TargetMode="External"/><Relationship Id="rId12" Type="http://schemas.openxmlformats.org/officeDocument/2006/relationships/hyperlink" Target="https://drive.google.com/file/d/1KjbmhzL5-2qYQiXxdZnYqLIyXc_voe_j/view?usp=drive_lin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8KqXWloIEaIjNaNIxGZPXj0WYQpROaul/view?usp=drive_lin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YKA-k3Ywdo9XLAY4dV9M0j9ecMiFAroS/view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TMZUjo6UN4wWeFqcbuiFqyixWl_CFjv7/view?usp=drive_li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1974</Characters>
  <Application>Microsoft Office Word</Application>
  <DocSecurity>0</DocSecurity>
  <Lines>131</Lines>
  <Paragraphs>108</Paragraphs>
  <ScaleCrop>false</ScaleCrop>
  <Company>CSSRDN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2025-01-23T17:55:00Z</dcterms:created>
  <dcterms:modified xsi:type="dcterms:W3CDTF">2025-02-06T18:29:00Z</dcterms:modified>
</cp:coreProperties>
</file>