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right="0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1500"/>
        <w:gridCol w:w="1155"/>
        <w:gridCol w:w="720"/>
        <w:gridCol w:w="495"/>
        <w:gridCol w:w="1185"/>
        <w:gridCol w:w="750"/>
        <w:gridCol w:w="525"/>
        <w:gridCol w:w="1095"/>
        <w:gridCol w:w="705"/>
        <w:gridCol w:w="780"/>
        <w:gridCol w:w="1185"/>
        <w:tblGridChange w:id="0">
          <w:tblGrid>
            <w:gridCol w:w="555"/>
            <w:gridCol w:w="1500"/>
            <w:gridCol w:w="1155"/>
            <w:gridCol w:w="720"/>
            <w:gridCol w:w="495"/>
            <w:gridCol w:w="1185"/>
            <w:gridCol w:w="750"/>
            <w:gridCol w:w="525"/>
            <w:gridCol w:w="1095"/>
            <w:gridCol w:w="705"/>
            <w:gridCol w:w="780"/>
            <w:gridCol w:w="11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559.9999999999999"/>
                <w:tab w:val="left" w:leader="none" w:pos="124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Leçon 6.11</w:t>
            </w:r>
          </w:p>
          <w:p w:rsidR="00000000" w:rsidDel="00000000" w:rsidP="00000000" w:rsidRDefault="00000000" w:rsidRPr="00000000" w14:paraId="00000003">
            <w:pPr>
              <w:pageBreakBefore w:val="0"/>
              <w:tabs>
                <w:tab w:val="left" w:leader="none" w:pos="559.9999999999999"/>
                <w:tab w:val="left" w:leader="none" w:pos="1240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ind w:right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559.9999999999999"/>
                <w:tab w:val="left" w:leader="none" w:pos="124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Planifier des voyages pour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des périodes de pratique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de compétence 9 (voyage avec livraison) </w:t>
            </w:r>
          </w:p>
          <w:p w:rsidR="00000000" w:rsidDel="00000000" w:rsidP="00000000" w:rsidRDefault="00000000" w:rsidRPr="00000000" w14:paraId="00000007">
            <w:pPr>
              <w:pageBreakBefore w:val="0"/>
              <w:tabs>
                <w:tab w:val="left" w:leader="none" w:pos="559.9999999999999"/>
                <w:tab w:val="left" w:leader="none" w:pos="1240"/>
              </w:tabs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S’informer sur le voyage à effectuer.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ind w:right="0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r w:rsidDel="00000000" w:rsidR="00000000" w:rsidRPr="00000000">
              <w:rPr>
                <w:rtl w:val="0"/>
              </w:rPr>
              <w:t xml:space="preserve">Planifier des voyages à effectuer en milieux urbains, ruraux et/ou en pentes (idéalement par équipe de pratique)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Collecte de données dans des connaissements.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Localiser les lieux et des adresses avec les cartes traditionnelles combiné avec un outil électronique lorsque nécessaire.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les éléments à prévoir (problèmes potentiels prévisibles):</w:t>
              <w:br w:type="textWrapping"/>
              <w:t xml:space="preserve">Heures de pointe, routes restrictives, conditions météorologiques, construction, TMD,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les itinéraires optimaux à faire pendant les périodes de pratique.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Estimer le temps nécessaire pour parcourir les voyages qui mènent chez chaque destinataire.</w:t>
            </w:r>
          </w:p>
          <w:p w:rsidR="00000000" w:rsidDel="00000000" w:rsidP="00000000" w:rsidRDefault="00000000" w:rsidRPr="00000000" w14:paraId="00000096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Faire des calculs arithmétiques de base:</w:t>
            </w:r>
          </w:p>
          <w:p w:rsidR="00000000" w:rsidDel="00000000" w:rsidP="00000000" w:rsidRDefault="00000000" w:rsidRPr="00000000" w14:paraId="00000097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1502krrftowj" w:id="1"/>
            <w:bookmarkEnd w:id="1"/>
            <w:r w:rsidDel="00000000" w:rsidR="00000000" w:rsidRPr="00000000">
              <w:rPr>
                <w:rtl w:val="0"/>
              </w:rPr>
              <w:t xml:space="preserve">-Appliquer la conversion km/mile et mile/km.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les endroits d'arrêt pour les repas durant les périodes.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la quantité de carburant nécessaire pour effectuer les voyages.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Faire des calculs arithmétiques de base:</w:t>
            </w:r>
          </w:p>
          <w:p w:rsidR="00000000" w:rsidDel="00000000" w:rsidP="00000000" w:rsidRDefault="00000000" w:rsidRPr="00000000" w14:paraId="000000B1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czkdou1c14bz" w:id="2"/>
            <w:bookmarkEnd w:id="2"/>
            <w:r w:rsidDel="00000000" w:rsidR="00000000" w:rsidRPr="00000000">
              <w:rPr>
                <w:rtl w:val="0"/>
              </w:rPr>
              <w:t xml:space="preserve">-Estimer correctement la distance pour parcourir le trajet entre deux lieux afin d’établir la quantité de carburant nécessaire pour faire ce trajet.</w:t>
            </w:r>
          </w:p>
          <w:p w:rsidR="00000000" w:rsidDel="00000000" w:rsidP="00000000" w:rsidRDefault="00000000" w:rsidRPr="00000000" w14:paraId="000000B2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1502krrftowj" w:id="1"/>
            <w:bookmarkEnd w:id="1"/>
            <w:r w:rsidDel="00000000" w:rsidR="00000000" w:rsidRPr="00000000">
              <w:rPr>
                <w:rtl w:val="0"/>
              </w:rPr>
              <w:t xml:space="preserve">-Appliquer la conversion km/mile et mile/km.</w:t>
            </w:r>
          </w:p>
          <w:p w:rsidR="00000000" w:rsidDel="00000000" w:rsidP="00000000" w:rsidRDefault="00000000" w:rsidRPr="00000000" w14:paraId="000000B3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uvfghqmezqny" w:id="3"/>
            <w:bookmarkEnd w:id="3"/>
            <w:r w:rsidDel="00000000" w:rsidR="00000000" w:rsidRPr="00000000">
              <w:rPr>
                <w:rtl w:val="0"/>
              </w:rPr>
              <w:t xml:space="preserve">Règle de trois pour établir l’estimation du temps de conduite et consommation de carburant.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highlight w:val="yellow"/>
              </w:rPr>
            </w:pPr>
            <w:r w:rsidDel="00000000" w:rsidR="00000000" w:rsidRPr="00000000">
              <w:rPr>
                <w:highlight w:val="yellow"/>
                <w:rtl w:val="0"/>
              </w:rPr>
              <w:t xml:space="preserve">Tous les élèves sont convoqués à cette théorie, ils devront rédiger des itinéraires pour la compétence 9.</w:t>
            </w:r>
          </w:p>
          <w:p w:rsidR="00000000" w:rsidDel="00000000" w:rsidP="00000000" w:rsidRDefault="00000000" w:rsidRPr="00000000" w14:paraId="000000C1">
            <w:pPr>
              <w:widowControl w:val="0"/>
              <w:spacing w:after="240" w:before="240" w:lineRule="auto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240" w:before="240" w:lineRule="auto"/>
              <w:ind w:right="0"/>
              <w:rPr>
                <w:b w:val="1"/>
                <w:color w:val="ff0000"/>
                <w:highlight w:val="yellow"/>
              </w:rPr>
            </w:pPr>
            <w:r w:rsidDel="00000000" w:rsidR="00000000" w:rsidRPr="00000000">
              <w:rPr>
                <w:b w:val="1"/>
                <w:color w:val="ff0000"/>
                <w:highlight w:val="yellow"/>
                <w:rtl w:val="0"/>
              </w:rPr>
              <w:t xml:space="preserve">L’utilisation des cartes papiers est essentielle tout au long de la compétence.</w:t>
            </w:r>
          </w:p>
          <w:p w:rsidR="00000000" w:rsidDel="00000000" w:rsidP="00000000" w:rsidRDefault="00000000" w:rsidRPr="00000000" w14:paraId="000000C3">
            <w:pPr>
              <w:widowControl w:val="0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Documents anglais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(Référence André Desbiens, Pascal Pelletier)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B">
            <w:pPr>
              <w:pageBreakBefore w:val="0"/>
              <w:widowControl w:val="0"/>
              <w:ind w:right="0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(Patrice Bouchard)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Présentation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D">
            <w:pPr>
              <w:pageBreakBefore w:val="0"/>
              <w:widowControl w:val="0"/>
              <w:ind w:right="0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Document de référence de l’enseignant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E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André Desbiens, Pascal Pelletier)</w:t>
            </w:r>
          </w:p>
          <w:p w:rsidR="00000000" w:rsidDel="00000000" w:rsidP="00000000" w:rsidRDefault="00000000" w:rsidRPr="00000000" w14:paraId="000000FF">
            <w:pPr>
              <w:pageBreakBefore w:val="0"/>
              <w:widowControl w:val="0"/>
              <w:ind w:right="0"/>
              <w:rPr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0000"/>
                <w:sz w:val="28"/>
                <w:szCs w:val="28"/>
                <w:rtl w:val="0"/>
              </w:rPr>
              <w:t xml:space="preserve">(important à consulter)</w:t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ind w:left="0" w:right="0" w:firstLine="0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Charte de conversion modifiée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1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Carte traditionnelle municipale, régionale et provinciale.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Carte électronique (Google map)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9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F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Carte interactive réseau de camionnage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5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widowControl w:val="0"/>
              <w:ind w:left="0" w:right="0" w:firstLine="0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Connaissement vierge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widowControl w:val="0"/>
              <w:ind w:right="0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Billet de livraison vierge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D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3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  <w:t xml:space="preserve">Vidéo pour explication de la règle de trois</w:t>
            </w:r>
          </w:p>
          <w:p w:rsidR="00000000" w:rsidDel="00000000" w:rsidP="00000000" w:rsidRDefault="00000000" w:rsidRPr="00000000" w14:paraId="00000154">
            <w:pPr>
              <w:pageBreakBefore w:val="0"/>
              <w:widowControl w:val="0"/>
              <w:ind w:right="0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https://www.youtube.com/watch?v=mGDjvAcvigc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A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0">
            <w:pPr>
              <w:pageBreakBefore w:val="0"/>
              <w:widowControl w:val="0"/>
              <w:ind w:right="0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Vidéo explicatif de la TT-35 et TT-41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6">
            <w:pPr>
              <w:pageBreakBefore w:val="0"/>
              <w:widowControl w:val="0"/>
              <w:spacing w:after="240" w:before="240" w:lineRule="auto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C">
            <w:pPr>
              <w:pageBreakBefore w:val="0"/>
              <w:widowControl w:val="0"/>
              <w:ind w:right="0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2">
            <w:pPr>
              <w:pageBreakBefore w:val="0"/>
              <w:widowControl w:val="0"/>
              <w:spacing w:after="240" w:before="240" w:lineRule="auto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8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Évaluation en aide à l’apprentissage (formatif)</w:t>
            </w:r>
          </w:p>
        </w:tc>
        <w:tc>
          <w:tcPr>
            <w:gridSpan w:val="4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approximative: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2">
            <w:pPr>
              <w:pageBreakBefore w:val="0"/>
              <w:widowControl w:val="0"/>
              <w:ind w:right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3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 Correcteur</w:t>
              </w:r>
            </w:hyperlink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(Marie-Eve Lamarche, J-F Colpron)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0">
            <w:pPr>
              <w:pageBreakBefore w:val="0"/>
              <w:widowControl w:val="0"/>
              <w:ind w:right="0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Élève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C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A8">
            <w:pPr>
              <w:pageBreakBefore w:val="0"/>
              <w:widowControl w:val="0"/>
              <w:ind w:left="141.73228346456688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Programmation</w:t>
            </w:r>
            <w:r w:rsidDel="00000000" w:rsidR="00000000" w:rsidRPr="00000000">
              <w:rPr>
                <w:rtl w:val="0"/>
              </w:rPr>
              <w:t xml:space="preserve"> d’un GPS avec l’itinéraire établi d'abord par l’élève avec applications spécifiques aux camions durant les pratiques pour faire le suivi de l’itinéraire  dans les périodes de pratique.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B4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C0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Enrichissement: </w:t>
            </w:r>
          </w:p>
          <w:p w:rsidR="00000000" w:rsidDel="00000000" w:rsidP="00000000" w:rsidRDefault="00000000" w:rsidRPr="00000000" w14:paraId="000001C1">
            <w:pPr>
              <w:pageBreakBefore w:val="0"/>
              <w:widowControl w:val="0"/>
              <w:ind w:right="0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Exercices complémentaires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à produire par les enseignants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CD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pageBreakBefore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5840" w:w="12240" w:orient="portrait"/>
      <w:pgMar w:bottom="850.3937007874016" w:top="850.3937007874016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A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  <w:b w:val="1"/>
        <w:sz w:val="72"/>
        <w:szCs w:val="72"/>
      </w:rPr>
    </w:pPr>
    <w:r w:rsidDel="00000000" w:rsidR="00000000" w:rsidRPr="00000000">
      <w:rPr>
        <w:rFonts w:ascii="Arial" w:cs="Arial" w:eastAsia="Arial" w:hAnsi="Arial"/>
        <w:b w:val="1"/>
        <w:sz w:val="72"/>
        <w:szCs w:val="72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DB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Compétence 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-CA"/>
      </w:rPr>
    </w:rPrDefault>
    <w:pPrDefault>
      <w:pPr>
        <w:tabs>
          <w:tab w:val="left" w:leader="none" w:pos="830"/>
          <w:tab w:val="left" w:leader="none" w:pos="1240"/>
        </w:tabs>
        <w:ind w:right="-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jzvgnShh9uxiUwR0qg9iGX0lIzv1uMu6" TargetMode="External"/><Relationship Id="rId18" Type="http://schemas.openxmlformats.org/officeDocument/2006/relationships/hyperlink" Target="https://docs.google.com/document/d/1NKFkauMceBZS1y54GQgOfE3mxDOF30KGADREASof5B8/edit?usp=sharing" TargetMode="External"/><Relationship Id="rId8" Type="http://schemas.openxmlformats.org/officeDocument/2006/relationships/hyperlink" Target="https://docs.google.com/presentation/d/11naDALPTc4FzrmzsgUrdevW2Eij5D44vjDy_PiqKOKY/edit?usp=sharing" TargetMode="External"/><Relationship Id="rId3" Type="http://schemas.openxmlformats.org/officeDocument/2006/relationships/fontTable" Target="fontTable.xml"/><Relationship Id="rId21" Type="http://schemas.openxmlformats.org/officeDocument/2006/relationships/customXml" Target="../customXml/item2.xml"/><Relationship Id="rId12" Type="http://schemas.openxmlformats.org/officeDocument/2006/relationships/hyperlink" Target="https://drive.google.com/open?id=1uMnZZW8wb9CjdBWhl4iJyoquohPauWnI" TargetMode="External"/><Relationship Id="rId17" Type="http://schemas.openxmlformats.org/officeDocument/2006/relationships/hyperlink" Target="https://docs.google.com/document/d/1IfQ5h9qo8lkoq7lR8_xEHIB7UIjKid8y7N0L9ntb42o/edit?usp=sharing" TargetMode="External"/><Relationship Id="rId7" Type="http://schemas.openxmlformats.org/officeDocument/2006/relationships/hyperlink" Target="https://docs.google.com/document/d/1Hq7oauAaJNb6Z7hHHWjzpUzwe8w4dcsKDJHbwia5LAA/edit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quebec511.info/fr/Diffusion/EtatReseau/Default.aspx" TargetMode="External"/><Relationship Id="rId20" Type="http://schemas.openxmlformats.org/officeDocument/2006/relationships/customXml" Target="../customXml/item1.xml"/><Relationship Id="rId11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Gga6nnxmxs7TOfcCCDhGBcFmPu7nXJ1kSFmmmsbLsUc/edit?usp=sharing" TargetMode="External"/><Relationship Id="rId15" Type="http://schemas.openxmlformats.org/officeDocument/2006/relationships/hyperlink" Target="https://drive.google.com/file/d/1Z2YS_AUfeyWje7mJgSfUDm8KCxCetqxn/view?usp=shar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document/d/1ywgM5Vtvtdyzf_MeDeSdxMR7dbirG9ZpPCEgubkl_fQ/edit?usp=sharing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open?id=1tfKxui0oBrKLwVrEOGYV_XA6tsxW_h_Aj7WDApbZ468" TargetMode="External"/><Relationship Id="rId14" Type="http://schemas.openxmlformats.org/officeDocument/2006/relationships/hyperlink" Target="https://www.youtube.com/watch?v=mGDjvAcvigc" TargetMode="External"/><Relationship Id="rId22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284877-2563-4BCB-B3F0-5ACB311FDBA6}"/>
</file>

<file path=customXml/itemProps2.xml><?xml version="1.0" encoding="utf-8"?>
<ds:datastoreItem xmlns:ds="http://schemas.openxmlformats.org/officeDocument/2006/customXml" ds:itemID="{2639351D-91AE-470B-9147-F4D73DAA209C}"/>
</file>

<file path=customXml/itemProps3.xml><?xml version="1.0" encoding="utf-8"?>
<ds:datastoreItem xmlns:ds="http://schemas.openxmlformats.org/officeDocument/2006/customXml" ds:itemID="{E4B1A3C6-81DC-4168-BEE1-1C9182C07F2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