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0F" w:rsidRDefault="00FD690F">
      <w:pPr>
        <w:spacing w:before="240" w:after="240"/>
      </w:pPr>
    </w:p>
    <w:tbl>
      <w:tblPr>
        <w:tblStyle w:val="a"/>
        <w:tblW w:w="90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FD690F">
        <w:trPr>
          <w:trHeight w:val="1710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90F" w:rsidRDefault="000F18E6">
            <w:pPr>
              <w:spacing w:before="240" w:after="240"/>
              <w:jc w:val="center"/>
              <w:rPr>
                <w:b/>
                <w:color w:val="073763"/>
                <w:sz w:val="28"/>
                <w:szCs w:val="28"/>
              </w:rPr>
            </w:pPr>
            <w:r>
              <w:rPr>
                <w:b/>
                <w:color w:val="073763"/>
                <w:sz w:val="28"/>
                <w:szCs w:val="28"/>
              </w:rPr>
              <w:t>FRANÇAIS – 5</w:t>
            </w:r>
            <w:r>
              <w:rPr>
                <w:b/>
                <w:color w:val="073763"/>
                <w:sz w:val="28"/>
                <w:szCs w:val="28"/>
                <w:vertAlign w:val="superscript"/>
              </w:rPr>
              <w:t>e</w:t>
            </w:r>
            <w:r>
              <w:rPr>
                <w:b/>
                <w:color w:val="073763"/>
                <w:sz w:val="28"/>
                <w:szCs w:val="28"/>
              </w:rPr>
              <w:t xml:space="preserve"> SECONDAIRE</w:t>
            </w:r>
          </w:p>
          <w:p w:rsidR="00FD690F" w:rsidRDefault="000F18E6">
            <w:pPr>
              <w:spacing w:before="240" w:after="240"/>
              <w:jc w:val="center"/>
              <w:rPr>
                <w:b/>
                <w:color w:val="073763"/>
                <w:sz w:val="28"/>
                <w:szCs w:val="28"/>
              </w:rPr>
            </w:pPr>
            <w:r>
              <w:rPr>
                <w:b/>
                <w:color w:val="073763"/>
                <w:sz w:val="28"/>
                <w:szCs w:val="28"/>
              </w:rPr>
              <w:t>Formation à distance : projet pilote 2020-2021</w:t>
            </w:r>
          </w:p>
          <w:p w:rsidR="00FD690F" w:rsidRDefault="000F18E6">
            <w:pPr>
              <w:spacing w:before="240" w:after="240"/>
              <w:jc w:val="center"/>
              <w:rPr>
                <w:b/>
                <w:color w:val="073763"/>
                <w:sz w:val="28"/>
                <w:szCs w:val="28"/>
              </w:rPr>
            </w:pPr>
            <w:r>
              <w:rPr>
                <w:b/>
                <w:color w:val="073763"/>
                <w:sz w:val="28"/>
                <w:szCs w:val="28"/>
              </w:rPr>
              <w:t>Contrat d’engagement</w:t>
            </w:r>
          </w:p>
        </w:tc>
      </w:tr>
    </w:tbl>
    <w:p w:rsidR="00FD690F" w:rsidRDefault="000F18E6">
      <w:pPr>
        <w:spacing w:before="240" w:after="240"/>
      </w:pPr>
      <w:r>
        <w:t xml:space="preserve">  </w:t>
      </w:r>
    </w:p>
    <w:p w:rsidR="00FD690F" w:rsidRDefault="000F18E6">
      <w:pPr>
        <w:spacing w:before="120" w:after="120"/>
        <w:jc w:val="both"/>
        <w:rPr>
          <w:color w:val="373A3C"/>
          <w:highlight w:val="white"/>
        </w:rPr>
      </w:pPr>
      <w:r>
        <w:rPr>
          <w:color w:val="373A3C"/>
          <w:highlight w:val="white"/>
        </w:rPr>
        <w:t>Le contrat d’engagement précise les droits, les obligations et les responsabilités des partenaires qui s’engagent dans la formation à distance, soit l’élève, la personne responsable du cours et l’école. Le fait que les conditions du contrat soient claireme</w:t>
      </w:r>
      <w:r>
        <w:rPr>
          <w:color w:val="373A3C"/>
          <w:highlight w:val="white"/>
        </w:rPr>
        <w:t>nt établies</w:t>
      </w:r>
      <w:r>
        <w:rPr>
          <w:color w:val="373A3C"/>
        </w:rPr>
        <w:t xml:space="preserve"> et que l’ensemble les partenaires les connaissent et les </w:t>
      </w:r>
      <w:r>
        <w:rPr>
          <w:color w:val="373A3C"/>
          <w:highlight w:val="white"/>
        </w:rPr>
        <w:t>acceptent favorise le bon fonctionnement de la communauté d’apprentissage.</w:t>
      </w:r>
    </w:p>
    <w:p w:rsidR="00FD690F" w:rsidRDefault="000F18E6">
      <w:pPr>
        <w:spacing w:before="240" w:after="240"/>
        <w:rPr>
          <w:color w:val="373A3C"/>
          <w:highlight w:val="white"/>
        </w:rPr>
      </w:pPr>
      <w:r>
        <w:rPr>
          <w:color w:val="373A3C"/>
          <w:highlight w:val="white"/>
        </w:rPr>
        <w:t xml:space="preserve"> </w:t>
      </w:r>
    </w:p>
    <w:tbl>
      <w:tblPr>
        <w:tblStyle w:val="a0"/>
        <w:tblW w:w="898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4200"/>
      </w:tblGrid>
      <w:tr w:rsidR="00FD690F">
        <w:trPr>
          <w:trHeight w:val="345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90F" w:rsidRDefault="000F18E6">
            <w:pPr>
              <w:spacing w:before="120" w:after="120"/>
              <w:rPr>
                <w:color w:val="373A3C"/>
              </w:rPr>
            </w:pPr>
            <w:r>
              <w:rPr>
                <w:color w:val="373A3C"/>
              </w:rPr>
              <w:t xml:space="preserve">Avant d’entreprendre ta formation à distance, </w:t>
            </w:r>
            <w:r>
              <w:rPr>
                <w:b/>
                <w:color w:val="373A3C"/>
              </w:rPr>
              <w:t>lis attentivement le contrat d’engagement qui suit</w:t>
            </w:r>
            <w:r>
              <w:rPr>
                <w:color w:val="373A3C"/>
              </w:rPr>
              <w:t xml:space="preserve">. </w:t>
            </w:r>
            <w:r>
              <w:rPr>
                <w:b/>
                <w:color w:val="373A3C"/>
              </w:rPr>
              <w:t>Imprime-le o</w:t>
            </w:r>
            <w:r>
              <w:rPr>
                <w:b/>
                <w:color w:val="373A3C"/>
              </w:rPr>
              <w:t>u enregistre-le</w:t>
            </w:r>
            <w:r>
              <w:rPr>
                <w:color w:val="373A3C"/>
              </w:rPr>
              <w:t xml:space="preserve"> de manière à pouvoir t’y référer au besoin.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90F" w:rsidRDefault="000F18E6">
            <w:pPr>
              <w:spacing w:before="120" w:after="120"/>
              <w:jc w:val="center"/>
              <w:rPr>
                <w:b/>
                <w:color w:val="373A3C"/>
                <w:highlight w:val="white"/>
              </w:rPr>
            </w:pPr>
            <w:r>
              <w:rPr>
                <w:b/>
                <w:color w:val="373A3C"/>
                <w:highlight w:val="white"/>
              </w:rPr>
              <w:t>Camille te conseille…</w:t>
            </w:r>
          </w:p>
          <w:p w:rsidR="00FD690F" w:rsidRDefault="000F18E6">
            <w:pPr>
              <w:spacing w:before="120" w:after="120"/>
              <w:rPr>
                <w:color w:val="373A3C"/>
              </w:rPr>
            </w:pPr>
            <w:r>
              <w:rPr>
                <w:color w:val="373A3C"/>
              </w:rPr>
              <w:t>d’installer l’extension gratuite du navigateur Chrome</w:t>
            </w:r>
            <w:hyperlink r:id="rId8">
              <w:r>
                <w:rPr>
                  <w:color w:val="373A3C"/>
                </w:rPr>
                <w:t xml:space="preserve"> </w:t>
              </w:r>
            </w:hyperlink>
            <w:hyperlink r:id="rId9">
              <w:r>
                <w:rPr>
                  <w:color w:val="1155CC"/>
                  <w:u w:val="single"/>
                </w:rPr>
                <w:t>Sélection lecteur</w:t>
              </w:r>
            </w:hyperlink>
            <w:r>
              <w:rPr>
                <w:color w:val="373A3C"/>
              </w:rPr>
              <w:t xml:space="preserve"> (en anglais </w:t>
            </w:r>
            <w:proofErr w:type="gramStart"/>
            <w:r>
              <w:rPr>
                <w:color w:val="373A3C"/>
              </w:rPr>
              <w:t xml:space="preserve">:  </w:t>
            </w:r>
            <w:proofErr w:type="spellStart"/>
            <w:r>
              <w:rPr>
                <w:color w:val="373A3C"/>
              </w:rPr>
              <w:t>Selection</w:t>
            </w:r>
            <w:proofErr w:type="spellEnd"/>
            <w:proofErr w:type="gramEnd"/>
            <w:r>
              <w:rPr>
                <w:color w:val="373A3C"/>
              </w:rPr>
              <w:t xml:space="preserve"> </w:t>
            </w:r>
            <w:proofErr w:type="spellStart"/>
            <w:r>
              <w:rPr>
                <w:color w:val="373A3C"/>
              </w:rPr>
              <w:t>reader</w:t>
            </w:r>
            <w:proofErr w:type="spellEnd"/>
            <w:r>
              <w:rPr>
                <w:color w:val="373A3C"/>
              </w:rPr>
              <w:t xml:space="preserve"> ou </w:t>
            </w:r>
            <w:proofErr w:type="spellStart"/>
            <w:r>
              <w:rPr>
                <w:color w:val="373A3C"/>
              </w:rPr>
              <w:t>Text</w:t>
            </w:r>
            <w:proofErr w:type="spellEnd"/>
            <w:r>
              <w:rPr>
                <w:color w:val="373A3C"/>
              </w:rPr>
              <w:t xml:space="preserve"> to speech).</w:t>
            </w:r>
          </w:p>
          <w:p w:rsidR="00FD690F" w:rsidRDefault="000F18E6">
            <w:pPr>
              <w:spacing w:before="120" w:after="120"/>
              <w:rPr>
                <w:color w:val="373A3C"/>
                <w:highlight w:val="white"/>
              </w:rPr>
            </w:pPr>
            <w:r>
              <w:rPr>
                <w:color w:val="373A3C"/>
                <w:highlight w:val="white"/>
              </w:rPr>
              <w:t>Une fois cette ext</w:t>
            </w:r>
            <w:bookmarkStart w:id="0" w:name="_GoBack"/>
            <w:bookmarkEnd w:id="0"/>
            <w:r>
              <w:rPr>
                <w:color w:val="373A3C"/>
                <w:highlight w:val="white"/>
              </w:rPr>
              <w:t>ension installée, un clic droit permet</w:t>
            </w:r>
            <w:r>
              <w:rPr>
                <w:color w:val="373A3C"/>
                <w:highlight w:val="white"/>
              </w:rPr>
              <w:t xml:space="preserve"> d’activer la lecture à voix haute du contrat ou de n'importe quelle page web. Pas mal, non?</w:t>
            </w:r>
          </w:p>
        </w:tc>
      </w:tr>
    </w:tbl>
    <w:p w:rsidR="00FD690F" w:rsidRDefault="000F18E6">
      <w:pPr>
        <w:spacing w:before="240" w:after="240"/>
        <w:rPr>
          <w:color w:val="373A3C"/>
          <w:highlight w:val="white"/>
        </w:rPr>
      </w:pPr>
      <w:r>
        <w:rPr>
          <w:color w:val="373A3C"/>
          <w:highlight w:val="white"/>
        </w:rPr>
        <w:t xml:space="preserve"> </w:t>
      </w:r>
    </w:p>
    <w:p w:rsidR="00FD690F" w:rsidRDefault="000F18E6">
      <w:pPr>
        <w:spacing w:before="240" w:after="240"/>
        <w:rPr>
          <w:color w:val="373A3C"/>
          <w:highlight w:val="white"/>
        </w:rPr>
      </w:pPr>
      <w:r>
        <w:rPr>
          <w:color w:val="373A3C"/>
          <w:highlight w:val="white"/>
        </w:rPr>
        <w:t xml:space="preserve"> </w:t>
      </w:r>
    </w:p>
    <w:p w:rsidR="00FD690F" w:rsidRDefault="00FD690F"/>
    <w:p w:rsidR="00FD690F" w:rsidRDefault="000F18E6">
      <w:pPr>
        <w:spacing w:before="240" w:after="240"/>
        <w:jc w:val="center"/>
        <w:rPr>
          <w:b/>
          <w:color w:val="073763"/>
          <w:sz w:val="24"/>
          <w:szCs w:val="24"/>
        </w:rPr>
      </w:pPr>
      <w:r>
        <w:br w:type="page"/>
      </w:r>
    </w:p>
    <w:p w:rsidR="00CB0B5B" w:rsidRDefault="00CB0B5B" w:rsidP="00CB0B5B">
      <w:pPr>
        <w:spacing w:before="240" w:after="240"/>
        <w:rPr>
          <w:b/>
          <w:color w:val="002060"/>
        </w:rPr>
      </w:pPr>
    </w:p>
    <w:p w:rsidR="00FD690F" w:rsidRDefault="000F18E6" w:rsidP="00CB0B5B">
      <w:pPr>
        <w:spacing w:before="240" w:after="240"/>
        <w:rPr>
          <w:b/>
          <w:color w:val="002060"/>
        </w:rPr>
      </w:pPr>
      <w:r>
        <w:rPr>
          <w:b/>
          <w:color w:val="002060"/>
        </w:rPr>
        <w:t>L’élève</w:t>
      </w:r>
    </w:p>
    <w:tbl>
      <w:tblPr>
        <w:tblStyle w:val="a1"/>
        <w:tblW w:w="90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FD690F">
        <w:trPr>
          <w:trHeight w:val="480"/>
        </w:trPr>
        <w:tc>
          <w:tcPr>
            <w:tcW w:w="9015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90F" w:rsidRDefault="000F18E6">
            <w:pPr>
              <w:spacing w:before="240" w:after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Droits</w:t>
            </w:r>
          </w:p>
        </w:tc>
      </w:tr>
      <w:tr w:rsidR="00FD690F">
        <w:trPr>
          <w:trHeight w:val="6735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90F" w:rsidRDefault="000F18E6">
            <w:pPr>
              <w:numPr>
                <w:ilvl w:val="0"/>
                <w:numId w:val="1"/>
              </w:numP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Obtenir gratuitement le matériel informatique de base (ex. : ordinateur ou tablette) et les applications nécessaires à la réalisation des activités.</w:t>
            </w:r>
          </w:p>
          <w:p w:rsidR="00FD690F" w:rsidRDefault="000F18E6">
            <w:pPr>
              <w:numPr>
                <w:ilvl w:val="0"/>
                <w:numId w:val="1"/>
              </w:numPr>
              <w:spacing w:after="200"/>
              <w:rPr>
                <w:color w:val="222222"/>
              </w:rPr>
            </w:pPr>
            <w:r>
              <w:rPr>
                <w:color w:val="222222"/>
                <w:highlight w:val="white"/>
              </w:rPr>
              <w:t xml:space="preserve">Accéder gratuitement </w:t>
            </w:r>
            <w:r>
              <w:rPr>
                <w:color w:val="222222"/>
              </w:rPr>
              <w:t xml:space="preserve">et sur le support de son choix (imprimé ou numérique) </w:t>
            </w:r>
            <w:r>
              <w:rPr>
                <w:color w:val="222222"/>
                <w:highlight w:val="white"/>
              </w:rPr>
              <w:t xml:space="preserve">à toutes les œuvres littéraires </w:t>
            </w:r>
            <w:r>
              <w:rPr>
                <w:color w:val="222222"/>
                <w:highlight w:val="white"/>
              </w:rPr>
              <w:t>obligatoires pour la formation à distance en français.</w:t>
            </w:r>
          </w:p>
          <w:p w:rsidR="00FD690F" w:rsidRDefault="000F18E6">
            <w:pPr>
              <w:numPr>
                <w:ilvl w:val="0"/>
                <w:numId w:val="1"/>
              </w:numPr>
              <w:spacing w:after="200"/>
            </w:pPr>
            <w:r>
              <w:t>Accéder aux visioconférences en mode synchrone, soit en temps réel, ou en mode asynchrone, soit en différé.</w:t>
            </w:r>
          </w:p>
          <w:p w:rsidR="00FD690F" w:rsidRDefault="000F18E6">
            <w:pPr>
              <w:numPr>
                <w:ilvl w:val="0"/>
                <w:numId w:val="1"/>
              </w:numPr>
              <w:spacing w:after="200"/>
              <w:rPr>
                <w:color w:val="222222"/>
              </w:rPr>
            </w:pPr>
            <w:r>
              <w:rPr>
                <w:color w:val="222222"/>
                <w:highlight w:val="white"/>
              </w:rPr>
              <w:t xml:space="preserve">Protéger sa vie privée </w:t>
            </w:r>
            <w:r>
              <w:rPr>
                <w:color w:val="222222"/>
              </w:rPr>
              <w:t>au cours des échanges synchrones en utilisant un filtre d’arrière-plan</w:t>
            </w:r>
            <w:r>
              <w:rPr>
                <w:color w:val="222222"/>
              </w:rPr>
              <w:t xml:space="preserve"> ou en refusant </w:t>
            </w:r>
            <w:r>
              <w:rPr>
                <w:color w:val="222222"/>
                <w:highlight w:val="white"/>
              </w:rPr>
              <w:t>d’activer sa caméra si l’activité ne le requiert pas.</w:t>
            </w:r>
          </w:p>
          <w:p w:rsidR="00FD690F" w:rsidRDefault="000F18E6">
            <w:pPr>
              <w:numPr>
                <w:ilvl w:val="0"/>
                <w:numId w:val="1"/>
              </w:numP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Bénéficier d'un accompagnement à l’apprentissage équivalent</w:t>
            </w:r>
            <w:r>
              <w:rPr>
                <w:color w:val="222222"/>
                <w:highlight w:val="white"/>
                <w:vertAlign w:val="superscript"/>
              </w:rPr>
              <w:t>1</w:t>
            </w:r>
            <w:r>
              <w:rPr>
                <w:color w:val="222222"/>
                <w:highlight w:val="white"/>
              </w:rPr>
              <w:t xml:space="preserve"> à celui offert en classe.</w:t>
            </w:r>
          </w:p>
          <w:p w:rsidR="00FD690F" w:rsidRDefault="000F18E6">
            <w:pPr>
              <w:numPr>
                <w:ilvl w:val="0"/>
                <w:numId w:val="1"/>
              </w:numPr>
              <w:spacing w:after="200"/>
            </w:pPr>
            <w:r>
              <w:t>Recevoir une rétroaction adaptée à ses besoins.</w:t>
            </w:r>
          </w:p>
          <w:p w:rsidR="00FD690F" w:rsidRDefault="000F18E6">
            <w:pPr>
              <w:numPr>
                <w:ilvl w:val="0"/>
                <w:numId w:val="1"/>
              </w:numP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Bénéficier de services de soutien équivalents</w:t>
            </w:r>
            <w:r>
              <w:rPr>
                <w:color w:val="222222"/>
                <w:highlight w:val="white"/>
                <w:vertAlign w:val="superscript"/>
              </w:rPr>
              <w:t>2</w:t>
            </w:r>
            <w:r>
              <w:rPr>
                <w:color w:val="222222"/>
                <w:highlight w:val="white"/>
              </w:rPr>
              <w:t xml:space="preserve"> à ce</w:t>
            </w:r>
            <w:r>
              <w:rPr>
                <w:color w:val="222222"/>
                <w:highlight w:val="white"/>
              </w:rPr>
              <w:t>ux offerts à l’école, notamment en matière d’aide psychologique, de suivi orthopédagogique et d’orientation professionnelle.</w:t>
            </w:r>
          </w:p>
          <w:p w:rsidR="00FD690F" w:rsidRDefault="000F18E6">
            <w:pPr>
              <w:numPr>
                <w:ilvl w:val="0"/>
                <w:numId w:val="1"/>
              </w:numPr>
              <w:spacing w:before="120" w:after="200"/>
              <w:rPr>
                <w:color w:val="222222"/>
              </w:rPr>
            </w:pPr>
            <w:r>
              <w:rPr>
                <w:color w:val="222222"/>
              </w:rPr>
              <w:t>Suivre un parcours intensif si la personne responsable du cours de français juge ce choix approprié.</w:t>
            </w:r>
          </w:p>
        </w:tc>
      </w:tr>
    </w:tbl>
    <w:p w:rsidR="00FD690F" w:rsidRDefault="00FD690F">
      <w:pPr>
        <w:spacing w:before="240" w:after="240"/>
        <w:rPr>
          <w:color w:val="222222"/>
          <w:sz w:val="16"/>
          <w:szCs w:val="16"/>
          <w:highlight w:val="white"/>
        </w:rPr>
      </w:pPr>
    </w:p>
    <w:p w:rsidR="00FD690F" w:rsidRDefault="000F18E6">
      <w:pPr>
        <w:spacing w:before="240" w:after="240"/>
        <w:jc w:val="right"/>
        <w:rPr>
          <w:color w:val="222222"/>
          <w:sz w:val="16"/>
          <w:szCs w:val="16"/>
          <w:highlight w:val="white"/>
        </w:rPr>
      </w:pPr>
      <w:r>
        <w:rPr>
          <w:color w:val="222222"/>
          <w:sz w:val="16"/>
          <w:szCs w:val="16"/>
          <w:highlight w:val="white"/>
        </w:rPr>
        <w:t>1. Un accompagnement équivalent signifie similaire en temps et en qualité à l’accompagnement individuel offert en classe et dans les périodes de récupération.</w:t>
      </w:r>
    </w:p>
    <w:p w:rsidR="00FD690F" w:rsidRDefault="000F18E6">
      <w:pPr>
        <w:spacing w:before="240" w:after="240"/>
        <w:jc w:val="right"/>
        <w:rPr>
          <w:color w:val="222222"/>
          <w:sz w:val="16"/>
          <w:szCs w:val="16"/>
          <w:highlight w:val="white"/>
        </w:rPr>
      </w:pPr>
      <w:r>
        <w:rPr>
          <w:color w:val="222222"/>
          <w:sz w:val="16"/>
          <w:szCs w:val="16"/>
          <w:highlight w:val="white"/>
        </w:rPr>
        <w:t>2. Des services de soutien équivalents signifient aussi accessibles qu’en milieu scolaire et simi</w:t>
      </w:r>
      <w:r>
        <w:rPr>
          <w:color w:val="222222"/>
          <w:sz w:val="16"/>
          <w:szCs w:val="16"/>
          <w:highlight w:val="white"/>
        </w:rPr>
        <w:t>laires en temps et en qualité à ce qui est offert en présentiel.</w:t>
      </w:r>
    </w:p>
    <w:p w:rsidR="00FD690F" w:rsidRDefault="00FD690F">
      <w:pPr>
        <w:spacing w:before="240" w:after="240"/>
        <w:rPr>
          <w:color w:val="222222"/>
          <w:sz w:val="16"/>
          <w:szCs w:val="16"/>
          <w:highlight w:val="white"/>
        </w:rPr>
      </w:pPr>
    </w:p>
    <w:p w:rsidR="00FD690F" w:rsidRDefault="000F18E6">
      <w:pPr>
        <w:spacing w:before="240" w:after="240"/>
      </w:pPr>
      <w:r>
        <w:t xml:space="preserve"> </w:t>
      </w:r>
      <w:r>
        <w:br w:type="page"/>
      </w:r>
    </w:p>
    <w:p w:rsidR="00FD690F" w:rsidRDefault="00FD690F">
      <w:pPr>
        <w:spacing w:before="240" w:after="240"/>
      </w:pPr>
    </w:p>
    <w:tbl>
      <w:tblPr>
        <w:tblStyle w:val="a2"/>
        <w:tblW w:w="90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FD690F">
        <w:trPr>
          <w:trHeight w:val="480"/>
        </w:trPr>
        <w:tc>
          <w:tcPr>
            <w:tcW w:w="9015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90F" w:rsidRDefault="000F18E6">
            <w:pPr>
              <w:spacing w:before="240" w:after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Obligations et responsabilités</w:t>
            </w:r>
          </w:p>
        </w:tc>
      </w:tr>
      <w:tr w:rsidR="00FD690F">
        <w:trPr>
          <w:trHeight w:val="8625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90F" w:rsidRDefault="000F18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Participer activement à la communauté d’apprentissage en ligne en faisant preuve d’honnêteté.</w:t>
            </w:r>
          </w:p>
          <w:p w:rsidR="00FD690F" w:rsidRDefault="000F18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Consacrer en moyenne de 5 à 6 heures de travail par semaine au cours de français sur la plateforme Moodle.</w:t>
            </w:r>
          </w:p>
          <w:p w:rsidR="00FD690F" w:rsidRDefault="000F18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Garder des traces de ses apprentissages (ex. : sauvegarde organisée de fichiers et de saisies d’écran, conservation de l’historique des démarches de </w:t>
            </w:r>
            <w:r>
              <w:rPr>
                <w:color w:val="222222"/>
                <w:highlight w:val="white"/>
              </w:rPr>
              <w:t>travail).</w:t>
            </w:r>
          </w:p>
          <w:p w:rsidR="00FD690F" w:rsidRDefault="000F18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Transmettre à la personne responsable du cours de français les travaux requis dans les délais fixés.</w:t>
            </w:r>
          </w:p>
          <w:p w:rsidR="00FD690F" w:rsidRDefault="000F18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Se conformer aux exigences d’évaluation.</w:t>
            </w:r>
          </w:p>
          <w:p w:rsidR="00FD690F" w:rsidRDefault="000F18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Respecter le droit d’auteur, notamment en citant clairement ses sources et en signalant tout emprunt à u</w:t>
            </w:r>
            <w:r>
              <w:rPr>
                <w:color w:val="222222"/>
                <w:highlight w:val="white"/>
              </w:rPr>
              <w:t>ne ressource externe.</w:t>
            </w:r>
          </w:p>
          <w:p w:rsidR="00FD690F" w:rsidRDefault="000F18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S’abstenir de toute forme de plagiat, incluant le copier-coller d’un document qu’il ou elle n’a pas créé.</w:t>
            </w:r>
          </w:p>
          <w:p w:rsidR="00FD690F" w:rsidRDefault="000F18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Chercher des réponses à ses interrogations de manière autonome ou faire appel à d’autres élèves avant de demander l’aide de la p</w:t>
            </w:r>
            <w:r>
              <w:rPr>
                <w:color w:val="222222"/>
                <w:highlight w:val="white"/>
              </w:rPr>
              <w:t>ersonne responsable du cours de français.</w:t>
            </w:r>
          </w:p>
          <w:p w:rsidR="00FD690F" w:rsidRDefault="000F18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Prévenir dès que possible la personne responsable du cours de français si un problème grave nuit à la formation (ex. : bris ou difficulté technique, ennui de santé, matériel non disponible).</w:t>
            </w:r>
          </w:p>
          <w:p w:rsidR="00FD690F" w:rsidRDefault="000F18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Respecter le caractère confidentiel des propos tenus sur le forum.</w:t>
            </w:r>
          </w:p>
          <w:p w:rsidR="00FD690F" w:rsidRDefault="000F18E6">
            <w:pPr>
              <w:numPr>
                <w:ilvl w:val="0"/>
                <w:numId w:val="2"/>
              </w:numPr>
              <w:spacing w:after="200"/>
            </w:pPr>
            <w:r>
              <w:rPr>
                <w:color w:val="222222"/>
              </w:rPr>
              <w:t>Observer les règles de la</w:t>
            </w:r>
            <w:hyperlink r:id="rId10">
              <w:r>
                <w:rPr>
                  <w:color w:val="222222"/>
                </w:rPr>
                <w:t xml:space="preserve"> </w:t>
              </w:r>
            </w:hyperlink>
            <w:hyperlink r:id="rId11">
              <w:r>
                <w:rPr>
                  <w:color w:val="1155CC"/>
                  <w:u w:val="single"/>
                </w:rPr>
                <w:t>nétiquette</w:t>
              </w:r>
            </w:hyperlink>
            <w:r>
              <w:rPr>
                <w:color w:val="222222"/>
              </w:rPr>
              <w:t>.</w:t>
            </w:r>
          </w:p>
          <w:p w:rsidR="00FD690F" w:rsidRDefault="000F18E6">
            <w:pPr>
              <w:numPr>
                <w:ilvl w:val="0"/>
                <w:numId w:val="2"/>
              </w:numPr>
              <w:spacing w:before="240" w:after="200"/>
            </w:pPr>
            <w:r>
              <w:rPr>
                <w:color w:val="222222"/>
              </w:rPr>
              <w:t xml:space="preserve">S’abstenir de toute forme de </w:t>
            </w:r>
            <w:proofErr w:type="spellStart"/>
            <w:r>
              <w:rPr>
                <w:color w:val="222222"/>
              </w:rPr>
              <w:t>cyberintimidation</w:t>
            </w:r>
            <w:proofErr w:type="spellEnd"/>
            <w:r>
              <w:rPr>
                <w:color w:val="222222"/>
              </w:rPr>
              <w:t xml:space="preserve"> et prendre des moyens pour faire cesser toute forme de </w:t>
            </w:r>
            <w:hyperlink r:id="rId12">
              <w:proofErr w:type="spellStart"/>
              <w:r>
                <w:rPr>
                  <w:color w:val="1155CC"/>
                  <w:u w:val="single"/>
                </w:rPr>
                <w:t>cyberintimidation</w:t>
              </w:r>
              <w:proofErr w:type="spellEnd"/>
            </w:hyperlink>
            <w:r>
              <w:rPr>
                <w:color w:val="222222"/>
              </w:rPr>
              <w:t xml:space="preserve"> (ex. : informer de la situation la personne r</w:t>
            </w:r>
            <w:r>
              <w:rPr>
                <w:color w:val="222222"/>
              </w:rPr>
              <w:t>esponsable du cours ou une autre personne-ressource).</w:t>
            </w:r>
          </w:p>
        </w:tc>
      </w:tr>
    </w:tbl>
    <w:p w:rsidR="00FD690F" w:rsidRDefault="000F18E6">
      <w:pPr>
        <w:spacing w:before="240" w:after="240"/>
        <w:jc w:val="center"/>
        <w:rPr>
          <w:b/>
          <w:color w:val="002060"/>
        </w:rPr>
      </w:pPr>
      <w:r>
        <w:rPr>
          <w:b/>
          <w:color w:val="002060"/>
        </w:rPr>
        <w:t xml:space="preserve"> </w:t>
      </w:r>
    </w:p>
    <w:p w:rsidR="00FD690F" w:rsidRDefault="00FD690F">
      <w:pPr>
        <w:rPr>
          <w:b/>
          <w:color w:val="002060"/>
        </w:rPr>
      </w:pPr>
    </w:p>
    <w:p w:rsidR="00FD690F" w:rsidRDefault="000F18E6">
      <w:pPr>
        <w:spacing w:before="240" w:after="240"/>
        <w:rPr>
          <w:b/>
          <w:color w:val="002060"/>
        </w:rPr>
      </w:pPr>
      <w:r>
        <w:rPr>
          <w:b/>
          <w:color w:val="002060"/>
        </w:rPr>
        <w:t xml:space="preserve"> </w:t>
      </w:r>
      <w:r>
        <w:br w:type="page"/>
      </w:r>
    </w:p>
    <w:p w:rsidR="00CB0B5B" w:rsidRDefault="00CB0B5B">
      <w:pPr>
        <w:spacing w:before="240" w:after="240"/>
        <w:rPr>
          <w:b/>
          <w:color w:val="002060"/>
        </w:rPr>
      </w:pPr>
    </w:p>
    <w:p w:rsidR="00FD690F" w:rsidRDefault="000F18E6" w:rsidP="00CB0B5B">
      <w:pPr>
        <w:spacing w:before="240" w:after="240"/>
        <w:rPr>
          <w:b/>
          <w:color w:val="002060"/>
        </w:rPr>
      </w:pPr>
      <w:r>
        <w:rPr>
          <w:b/>
          <w:color w:val="002060"/>
        </w:rPr>
        <w:t>L’école et de la personne responsable du cours</w:t>
      </w:r>
    </w:p>
    <w:tbl>
      <w:tblPr>
        <w:tblStyle w:val="a3"/>
        <w:tblW w:w="90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FD690F">
        <w:trPr>
          <w:trHeight w:val="480"/>
        </w:trPr>
        <w:tc>
          <w:tcPr>
            <w:tcW w:w="9015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90F" w:rsidRDefault="000F18E6">
            <w:pPr>
              <w:spacing w:before="240" w:after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Droits</w:t>
            </w:r>
          </w:p>
        </w:tc>
      </w:tr>
      <w:tr w:rsidR="00FD690F">
        <w:trPr>
          <w:trHeight w:val="4470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90F" w:rsidRDefault="000F18E6">
            <w:pPr>
              <w:numPr>
                <w:ilvl w:val="0"/>
                <w:numId w:val="3"/>
              </w:numPr>
              <w:spacing w:after="200"/>
              <w:ind w:right="-140"/>
            </w:pPr>
            <w:r>
              <w:t>Adapter, ajouter ou retirer des activités sur la plateforme Moodle ou encore en restreindre l’accès pour tenir compte des besoins d’apprentissage des élèves.</w:t>
            </w:r>
          </w:p>
          <w:p w:rsidR="00FD690F" w:rsidRDefault="000F18E6">
            <w:pPr>
              <w:numPr>
                <w:ilvl w:val="0"/>
                <w:numId w:val="3"/>
              </w:numPr>
              <w:spacing w:after="200"/>
            </w:pPr>
            <w:r>
              <w:t>Limiter sa disponibilité aux moments précisés aux élèves.</w:t>
            </w:r>
          </w:p>
          <w:p w:rsidR="00FD690F" w:rsidRDefault="000F18E6">
            <w:pPr>
              <w:numPr>
                <w:ilvl w:val="0"/>
                <w:numId w:val="3"/>
              </w:numPr>
              <w:spacing w:after="200"/>
            </w:pPr>
            <w:r>
              <w:t>Répondre aux questions des élèves par d’</w:t>
            </w:r>
            <w:r>
              <w:t>autres questions ou leur donner une consigne de recherche pour favoriser le développement de leur autonomie.</w:t>
            </w:r>
          </w:p>
          <w:p w:rsidR="00FD690F" w:rsidRDefault="000F18E6">
            <w:pPr>
              <w:numPr>
                <w:ilvl w:val="0"/>
                <w:numId w:val="3"/>
              </w:numPr>
              <w:spacing w:after="200"/>
            </w:pPr>
            <w:r>
              <w:t>Accéder aux travaux des élèves sur la plateforme Moodle pour assurer le suivi et l’évaluation des apprentissages.</w:t>
            </w:r>
          </w:p>
          <w:p w:rsidR="00FD690F" w:rsidRDefault="000F18E6">
            <w:pPr>
              <w:numPr>
                <w:ilvl w:val="0"/>
                <w:numId w:val="3"/>
              </w:numPr>
              <w:spacing w:after="200"/>
            </w:pPr>
            <w:r>
              <w:t>Disposer d’un temps raisonnable p</w:t>
            </w:r>
            <w:r>
              <w:t>our chercher des solutions aux problèmes techniques rencontrés par les élèves même si cela occasionne un délai de réponse.</w:t>
            </w:r>
          </w:p>
          <w:p w:rsidR="00FD690F" w:rsidRDefault="000F18E6">
            <w:pPr>
              <w:numPr>
                <w:ilvl w:val="0"/>
                <w:numId w:val="3"/>
              </w:numPr>
              <w:spacing w:before="120" w:after="200"/>
            </w:pPr>
            <w:r>
              <w:rPr>
                <w:color w:val="222222"/>
                <w:highlight w:val="white"/>
              </w:rPr>
              <w:t xml:space="preserve">Protéger sa vie privée </w:t>
            </w:r>
            <w:r>
              <w:rPr>
                <w:color w:val="222222"/>
              </w:rPr>
              <w:t xml:space="preserve">au cours des échanges synchrones en utilisant un filtre d’arrière-plan ou en refusant </w:t>
            </w:r>
            <w:r>
              <w:rPr>
                <w:color w:val="222222"/>
                <w:highlight w:val="white"/>
              </w:rPr>
              <w:t>d’activer sa caméra si l</w:t>
            </w:r>
            <w:r>
              <w:rPr>
                <w:color w:val="222222"/>
                <w:highlight w:val="white"/>
              </w:rPr>
              <w:t>’activité ne le requiert pas.</w:t>
            </w:r>
          </w:p>
        </w:tc>
      </w:tr>
    </w:tbl>
    <w:p w:rsidR="00FD690F" w:rsidRDefault="000F18E6">
      <w:pPr>
        <w:spacing w:before="240" w:after="240"/>
      </w:pPr>
      <w:r>
        <w:t xml:space="preserve"> </w:t>
      </w:r>
    </w:p>
    <w:tbl>
      <w:tblPr>
        <w:tblStyle w:val="a4"/>
        <w:tblW w:w="90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FD690F">
        <w:trPr>
          <w:trHeight w:val="480"/>
        </w:trPr>
        <w:tc>
          <w:tcPr>
            <w:tcW w:w="9015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single" w:sz="8" w:space="0" w:color="073763"/>
            </w:tcBorders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90F" w:rsidRDefault="000F18E6">
            <w:pPr>
              <w:spacing w:before="240" w:after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Obligations et responsabilités</w:t>
            </w:r>
          </w:p>
        </w:tc>
      </w:tr>
      <w:tr w:rsidR="00FD690F">
        <w:trPr>
          <w:trHeight w:val="3675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90F" w:rsidRDefault="000F18E6">
            <w:pPr>
              <w:numPr>
                <w:ilvl w:val="0"/>
                <w:numId w:val="4"/>
              </w:numPr>
              <w:spacing w:after="200"/>
            </w:pPr>
            <w:r>
              <w:rPr>
                <w:color w:val="222222"/>
              </w:rPr>
              <w:t xml:space="preserve">Respecter </w:t>
            </w:r>
            <w:r>
              <w:t>les documents ministériels suivants :</w:t>
            </w:r>
          </w:p>
          <w:p w:rsidR="00FD690F" w:rsidRDefault="000F18E6">
            <w:pPr>
              <w:numPr>
                <w:ilvl w:val="1"/>
                <w:numId w:val="4"/>
              </w:numPr>
              <w:spacing w:after="200" w:line="240" w:lineRule="auto"/>
            </w:pPr>
            <w:hyperlink r:id="rId13">
              <w:r>
                <w:rPr>
                  <w:i/>
                  <w:color w:val="1155CC"/>
                  <w:u w:val="single"/>
                </w:rPr>
                <w:t>Loi sur l’instruction publique</w:t>
              </w:r>
            </w:hyperlink>
            <w:r>
              <w:rPr>
                <w:i/>
              </w:rPr>
              <w:t xml:space="preserve"> </w:t>
            </w:r>
            <w:r>
              <w:rPr>
                <w:i/>
                <w:color w:val="373A3C"/>
                <w:sz w:val="23"/>
                <w:szCs w:val="23"/>
                <w:highlight w:val="white"/>
              </w:rPr>
              <w:t xml:space="preserve">ou  </w:t>
            </w:r>
            <w:hyperlink r:id="rId14">
              <w:r>
                <w:rPr>
                  <w:i/>
                  <w:color w:val="1155CC"/>
                  <w:u w:val="single"/>
                </w:rPr>
                <w:t>Loi sur l’enseignement privé</w:t>
              </w:r>
            </w:hyperlink>
            <w:r>
              <w:rPr>
                <w:i/>
                <w:color w:val="373A3C"/>
                <w:sz w:val="23"/>
                <w:szCs w:val="23"/>
                <w:highlight w:val="white"/>
              </w:rPr>
              <w:t>, selon le cas</w:t>
            </w:r>
            <w:r>
              <w:rPr>
                <w:i/>
              </w:rPr>
              <w:t>;</w:t>
            </w:r>
          </w:p>
          <w:p w:rsidR="00FD690F" w:rsidRDefault="000F18E6">
            <w:pPr>
              <w:numPr>
                <w:ilvl w:val="1"/>
                <w:numId w:val="4"/>
              </w:numPr>
              <w:spacing w:after="200" w:line="240" w:lineRule="auto"/>
              <w:rPr>
                <w:i/>
              </w:rPr>
            </w:pPr>
            <w:hyperlink r:id="rId15">
              <w:r>
                <w:rPr>
                  <w:i/>
                  <w:color w:val="1155CC"/>
                  <w:u w:val="single"/>
                </w:rPr>
                <w:t>Régime pédagogique</w:t>
              </w:r>
            </w:hyperlink>
            <w:r>
              <w:rPr>
                <w:i/>
              </w:rPr>
              <w:t>;</w:t>
            </w:r>
          </w:p>
          <w:p w:rsidR="00FD690F" w:rsidRDefault="000F18E6">
            <w:pPr>
              <w:numPr>
                <w:ilvl w:val="1"/>
                <w:numId w:val="4"/>
              </w:numPr>
              <w:spacing w:after="200" w:line="240" w:lineRule="auto"/>
              <w:rPr>
                <w:i/>
              </w:rPr>
            </w:pPr>
            <w:hyperlink r:id="rId16">
              <w:r>
                <w:rPr>
                  <w:i/>
                  <w:color w:val="1155CC"/>
                  <w:u w:val="single"/>
                </w:rPr>
                <w:t>Instruction annuelle</w:t>
              </w:r>
            </w:hyperlink>
            <w:r>
              <w:rPr>
                <w:i/>
              </w:rPr>
              <w:t>;</w:t>
            </w:r>
          </w:p>
          <w:p w:rsidR="00FD690F" w:rsidRDefault="000F18E6">
            <w:pPr>
              <w:numPr>
                <w:ilvl w:val="1"/>
                <w:numId w:val="4"/>
              </w:numPr>
              <w:spacing w:after="200" w:line="240" w:lineRule="auto"/>
              <w:rPr>
                <w:i/>
              </w:rPr>
            </w:pPr>
            <w:hyperlink r:id="rId17">
              <w:r>
                <w:rPr>
                  <w:i/>
                  <w:color w:val="1155CC"/>
                  <w:u w:val="single"/>
                </w:rPr>
                <w:t>Loi visant à prévenir et à combattre l’intimidation et la violence à l’école</w:t>
              </w:r>
            </w:hyperlink>
            <w:r>
              <w:rPr>
                <w:i/>
              </w:rPr>
              <w:t>;</w:t>
            </w:r>
          </w:p>
          <w:p w:rsidR="00FD690F" w:rsidRDefault="000F18E6">
            <w:pPr>
              <w:numPr>
                <w:ilvl w:val="1"/>
                <w:numId w:val="4"/>
              </w:numPr>
              <w:spacing w:after="200" w:line="240" w:lineRule="auto"/>
              <w:rPr>
                <w:i/>
              </w:rPr>
            </w:pPr>
            <w:hyperlink r:id="rId18">
              <w:r>
                <w:rPr>
                  <w:i/>
                  <w:color w:val="1155CC"/>
                  <w:u w:val="single"/>
                </w:rPr>
                <w:t>Programme de formation de l’école québécoise – Français, langue d’enseignement</w:t>
              </w:r>
            </w:hyperlink>
            <w:r>
              <w:rPr>
                <w:i/>
              </w:rPr>
              <w:t>;</w:t>
            </w:r>
          </w:p>
          <w:p w:rsidR="00FD690F" w:rsidRDefault="000F18E6">
            <w:pPr>
              <w:numPr>
                <w:ilvl w:val="1"/>
                <w:numId w:val="4"/>
              </w:numPr>
              <w:spacing w:after="200" w:line="240" w:lineRule="auto"/>
              <w:rPr>
                <w:i/>
              </w:rPr>
            </w:pPr>
            <w:hyperlink r:id="rId19">
              <w:r>
                <w:rPr>
                  <w:i/>
                  <w:color w:val="1155CC"/>
                  <w:u w:val="single"/>
                </w:rPr>
                <w:t>Progression des apprentissages – Français, langue d’enseignement</w:t>
              </w:r>
            </w:hyperlink>
            <w:r>
              <w:rPr>
                <w:i/>
              </w:rPr>
              <w:t>;</w:t>
            </w:r>
          </w:p>
          <w:p w:rsidR="00FD690F" w:rsidRDefault="000F18E6">
            <w:pPr>
              <w:numPr>
                <w:ilvl w:val="1"/>
                <w:numId w:val="4"/>
              </w:numPr>
              <w:spacing w:after="200" w:line="240" w:lineRule="auto"/>
              <w:rPr>
                <w:i/>
              </w:rPr>
            </w:pPr>
            <w:hyperlink r:id="rId20">
              <w:r>
                <w:rPr>
                  <w:i/>
                  <w:color w:val="1155CC"/>
                  <w:u w:val="single"/>
                </w:rPr>
                <w:t>Cadre d’évaluation des apprentissages – Françai</w:t>
              </w:r>
              <w:r>
                <w:rPr>
                  <w:i/>
                  <w:color w:val="1155CC"/>
                  <w:u w:val="single"/>
                </w:rPr>
                <w:t>s, langue d’enseignement.</w:t>
              </w:r>
            </w:hyperlink>
          </w:p>
          <w:p w:rsidR="00FD690F" w:rsidRDefault="000F18E6">
            <w:pPr>
              <w:numPr>
                <w:ilvl w:val="0"/>
                <w:numId w:val="4"/>
              </w:numPr>
              <w:spacing w:after="200"/>
            </w:pPr>
            <w:r>
              <w:lastRenderedPageBreak/>
              <w:t xml:space="preserve">Rendre accessibles aux élèves les ressources nécessaires à la réalisation des activités de </w:t>
            </w:r>
            <w:r>
              <w:rPr>
                <w:color w:val="222222"/>
                <w:highlight w:val="white"/>
              </w:rPr>
              <w:t>la formation à distance en français</w:t>
            </w:r>
            <w:r>
              <w:t>.</w:t>
            </w:r>
          </w:p>
          <w:p w:rsidR="00FD690F" w:rsidRDefault="000F18E6">
            <w:pPr>
              <w:numPr>
                <w:ilvl w:val="0"/>
                <w:numId w:val="4"/>
              </w:numPr>
              <w:spacing w:after="200"/>
              <w:rPr>
                <w:color w:val="222222"/>
              </w:rPr>
            </w:pPr>
            <w:r>
              <w:rPr>
                <w:color w:val="222222"/>
                <w:highlight w:val="white"/>
              </w:rPr>
              <w:t xml:space="preserve">Rendre accessibles aux élèves, gratuitement </w:t>
            </w:r>
            <w:r>
              <w:rPr>
                <w:color w:val="222222"/>
              </w:rPr>
              <w:t xml:space="preserve">et sur le support de leur choix (imprimé ou numérique), </w:t>
            </w:r>
            <w:r>
              <w:rPr>
                <w:color w:val="222222"/>
                <w:highlight w:val="white"/>
              </w:rPr>
              <w:t>to</w:t>
            </w:r>
            <w:r>
              <w:rPr>
                <w:color w:val="222222"/>
                <w:highlight w:val="white"/>
              </w:rPr>
              <w:t>utes les œuvres littéraires obligatoires pour la formation à distance en français.</w:t>
            </w:r>
          </w:p>
          <w:p w:rsidR="00FD690F" w:rsidRDefault="000F18E6">
            <w:pPr>
              <w:numPr>
                <w:ilvl w:val="0"/>
                <w:numId w:val="4"/>
              </w:numPr>
              <w:spacing w:after="200"/>
            </w:pPr>
            <w:r>
              <w:t xml:space="preserve">Assurer aux élèves un temps de présence en ligne suffisant </w:t>
            </w:r>
            <w:r>
              <w:rPr>
                <w:color w:val="373A3C"/>
                <w:sz w:val="23"/>
                <w:szCs w:val="23"/>
                <w:highlight w:val="white"/>
              </w:rPr>
              <w:t xml:space="preserve">(environ 4 heures par semaine par groupe ou 7,5 heures par cycle de 9 jours par groupe) </w:t>
            </w:r>
            <w:r>
              <w:t xml:space="preserve">et les informer </w:t>
            </w:r>
            <w:r>
              <w:rPr>
                <w:color w:val="222222"/>
                <w:highlight w:val="white"/>
              </w:rPr>
              <w:t>des autres</w:t>
            </w:r>
            <w:r>
              <w:rPr>
                <w:color w:val="222222"/>
                <w:highlight w:val="white"/>
              </w:rPr>
              <w:t xml:space="preserve"> moments de disponibilité pour des rencontres individuelles ou en sous-groupe.</w:t>
            </w:r>
          </w:p>
          <w:p w:rsidR="00FD690F" w:rsidRDefault="000F18E6">
            <w:pPr>
              <w:numPr>
                <w:ilvl w:val="0"/>
                <w:numId w:val="4"/>
              </w:numPr>
              <w:spacing w:after="2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Consacrer à la tâche du temps additionnel si le caractère expérimental du projet de formation à distance le requiert.</w:t>
            </w:r>
          </w:p>
          <w:p w:rsidR="00FD690F" w:rsidRDefault="000F18E6">
            <w:pPr>
              <w:numPr>
                <w:ilvl w:val="0"/>
                <w:numId w:val="4"/>
              </w:numPr>
              <w:spacing w:after="200"/>
            </w:pPr>
            <w:r>
              <w:t>Offrir à tous les élèves un accès synchrone et asynchrone a</w:t>
            </w:r>
            <w:r>
              <w:t>ux visioconférences.</w:t>
            </w:r>
          </w:p>
          <w:p w:rsidR="00FD690F" w:rsidRDefault="000F18E6">
            <w:pPr>
              <w:numPr>
                <w:ilvl w:val="0"/>
                <w:numId w:val="4"/>
              </w:numPr>
              <w:spacing w:after="200"/>
              <w:rPr>
                <w:highlight w:val="white"/>
              </w:rPr>
            </w:pPr>
            <w:r>
              <w:rPr>
                <w:color w:val="222222"/>
                <w:sz w:val="14"/>
                <w:szCs w:val="14"/>
                <w:highlight w:val="white"/>
              </w:rPr>
              <w:t xml:space="preserve"> </w:t>
            </w:r>
            <w:r>
              <w:rPr>
                <w:color w:val="373A3C"/>
                <w:sz w:val="23"/>
                <w:szCs w:val="23"/>
                <w:highlight w:val="white"/>
              </w:rPr>
              <w:t>Fournir à l’ensemble des élèves des rétroactions adaptées à leurs besoins d’apprentissage.</w:t>
            </w:r>
          </w:p>
          <w:p w:rsidR="00FD690F" w:rsidRDefault="000F18E6">
            <w:pPr>
              <w:numPr>
                <w:ilvl w:val="0"/>
                <w:numId w:val="4"/>
              </w:numPr>
              <w:spacing w:after="200"/>
            </w:pPr>
            <w:r>
              <w:t>S’assurer que les élèves ont accès à des services de soutien équivalents</w:t>
            </w:r>
            <w:r>
              <w:rPr>
                <w:color w:val="222222"/>
                <w:highlight w:val="white"/>
                <w:vertAlign w:val="superscript"/>
              </w:rPr>
              <w:t>1</w:t>
            </w:r>
            <w:r>
              <w:t xml:space="preserve"> à ceux offerts à l’école, notamment en matière d’aide psychologique, de suivi orthopédagogique et d’orientation professionnelle.</w:t>
            </w:r>
          </w:p>
          <w:p w:rsidR="00FD690F" w:rsidRDefault="000F18E6">
            <w:pPr>
              <w:numPr>
                <w:ilvl w:val="0"/>
                <w:numId w:val="4"/>
              </w:numPr>
              <w:spacing w:after="200"/>
            </w:pPr>
            <w:r>
              <w:t>Sanctionner tout cas de plagiat constaté et, pour les cas spécifiés dans les normes et modalités d’évaluation de l’école, appl</w:t>
            </w:r>
            <w:r>
              <w:t>iquer les sanctions prévues.</w:t>
            </w:r>
          </w:p>
          <w:p w:rsidR="00FD690F" w:rsidRDefault="000F18E6">
            <w:pPr>
              <w:numPr>
                <w:ilvl w:val="0"/>
                <w:numId w:val="4"/>
              </w:numPr>
              <w:spacing w:after="200"/>
            </w:pPr>
            <w:r>
              <w:t>Respecter et faire respecter rigoureusement le droit d’auteur ou le droit d’autrice, notamment par l’indication des sources (référence bibliographique ou hyperlien).</w:t>
            </w:r>
          </w:p>
          <w:p w:rsidR="00FD690F" w:rsidRDefault="000F18E6">
            <w:pPr>
              <w:numPr>
                <w:ilvl w:val="0"/>
                <w:numId w:val="4"/>
              </w:numPr>
              <w:spacing w:after="200"/>
            </w:pPr>
            <w:r>
              <w:t>Respecter et faire respecter les règles de la</w:t>
            </w:r>
            <w:hyperlink r:id="rId21">
              <w:r>
                <w:t xml:space="preserve"> </w:t>
              </w:r>
            </w:hyperlink>
            <w:hyperlink r:id="rId22">
              <w:r>
                <w:rPr>
                  <w:color w:val="1155CC"/>
                  <w:u w:val="single"/>
                </w:rPr>
                <w:t>nétiquette</w:t>
              </w:r>
            </w:hyperlink>
            <w:r>
              <w:t>.</w:t>
            </w:r>
          </w:p>
          <w:p w:rsidR="00FD690F" w:rsidRDefault="000F18E6">
            <w:pPr>
              <w:numPr>
                <w:ilvl w:val="0"/>
                <w:numId w:val="4"/>
              </w:numPr>
              <w:spacing w:before="120" w:after="200"/>
            </w:pPr>
            <w:r>
              <w:rPr>
                <w:color w:val="222222"/>
              </w:rPr>
              <w:t>Prendre les moyens nécessaires pour faire cesser toute forme de</w:t>
            </w:r>
            <w:hyperlink r:id="rId23">
              <w:r>
                <w:rPr>
                  <w:color w:val="222222"/>
                </w:rPr>
                <w:t xml:space="preserve"> </w:t>
              </w:r>
            </w:hyperlink>
            <w:hyperlink r:id="rId24">
              <w:proofErr w:type="spellStart"/>
              <w:r>
                <w:rPr>
                  <w:color w:val="1155CC"/>
                  <w:u w:val="single"/>
                </w:rPr>
                <w:t>cyberintimidation</w:t>
              </w:r>
              <w:proofErr w:type="spellEnd"/>
            </w:hyperlink>
            <w:r>
              <w:rPr>
                <w:color w:val="222222"/>
              </w:rPr>
              <w:t>.</w:t>
            </w:r>
          </w:p>
        </w:tc>
      </w:tr>
    </w:tbl>
    <w:p w:rsidR="00FD690F" w:rsidRDefault="000F18E6">
      <w:pPr>
        <w:spacing w:before="240" w:after="240"/>
      </w:pPr>
      <w:r>
        <w:lastRenderedPageBreak/>
        <w:t xml:space="preserve"> </w:t>
      </w:r>
      <w:r>
        <w:rPr>
          <w:color w:val="222222"/>
          <w:sz w:val="16"/>
          <w:szCs w:val="16"/>
        </w:rPr>
        <w:t>1.</w:t>
      </w:r>
      <w:r>
        <w:rPr>
          <w:color w:val="222222"/>
          <w:sz w:val="14"/>
          <w:szCs w:val="14"/>
        </w:rPr>
        <w:t xml:space="preserve">    </w:t>
      </w:r>
      <w:r>
        <w:rPr>
          <w:color w:val="222222"/>
          <w:sz w:val="16"/>
          <w:szCs w:val="16"/>
          <w:highlight w:val="white"/>
        </w:rPr>
        <w:t>Des services de soutien équivalents signifient aussi accessibles qu’en milieu scolaire et similaires en temps et en qualité à ce qui est offert en présentiel.</w:t>
      </w:r>
    </w:p>
    <w:sectPr w:rsidR="00FD690F">
      <w:head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E6" w:rsidRDefault="000F18E6">
      <w:pPr>
        <w:spacing w:line="240" w:lineRule="auto"/>
      </w:pPr>
      <w:r>
        <w:separator/>
      </w:r>
    </w:p>
  </w:endnote>
  <w:endnote w:type="continuationSeparator" w:id="0">
    <w:p w:rsidR="000F18E6" w:rsidRDefault="000F1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E6" w:rsidRDefault="000F18E6">
      <w:pPr>
        <w:spacing w:line="240" w:lineRule="auto"/>
      </w:pPr>
      <w:r>
        <w:separator/>
      </w:r>
    </w:p>
  </w:footnote>
  <w:footnote w:type="continuationSeparator" w:id="0">
    <w:p w:rsidR="000F18E6" w:rsidRDefault="000F18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0F" w:rsidRDefault="000F18E6">
    <w:r>
      <w:rPr>
        <w:noProof/>
      </w:rPr>
      <w:drawing>
        <wp:inline distT="114300" distB="114300" distL="114300" distR="114300">
          <wp:extent cx="928688" cy="43834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688" cy="438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B91"/>
    <w:multiLevelType w:val="multilevel"/>
    <w:tmpl w:val="DC30AE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AA02707"/>
    <w:multiLevelType w:val="multilevel"/>
    <w:tmpl w:val="06D0C1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1316B5F"/>
    <w:multiLevelType w:val="multilevel"/>
    <w:tmpl w:val="DA360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67A1AFD"/>
    <w:multiLevelType w:val="multilevel"/>
    <w:tmpl w:val="39524E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690F"/>
    <w:rsid w:val="000F18E6"/>
    <w:rsid w:val="00442B2F"/>
    <w:rsid w:val="00CB0B5B"/>
    <w:rsid w:val="00F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B0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B0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ome.google.com/webstore/detail/selection-reader-text-to/fdffijlhedcdiblbingmagmdnokokgbi?hl=fr" TargetMode="External"/><Relationship Id="rId13" Type="http://schemas.openxmlformats.org/officeDocument/2006/relationships/hyperlink" Target="http://legisquebec.gouv.qc.ca/fr/pdf/cs/I-13.3.pdf" TargetMode="External"/><Relationship Id="rId18" Type="http://schemas.openxmlformats.org/officeDocument/2006/relationships/hyperlink" Target="http://www.education.gouv.qc.ca/fileadmin/site_web/documents/education/jeunes/pfeq/PFEQ_francais-langue-enseignement-deuxieme-cycle-secondaire.pd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bdl.oqlf.gouv.qc.ca/bdl/gabarit_bdl.asp?id=27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caloi.qc.ca/capsules/cyberintimidation-les-gestes-interdits/" TargetMode="External"/><Relationship Id="rId17" Type="http://schemas.openxmlformats.org/officeDocument/2006/relationships/hyperlink" Target="https://educaloi.qc.ca/capsules/intimidation-et-la-violence-a-l-ecole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education.gouv.qc.ca/references/tx-solrtyperecherchepublicationtx-solrpublicationnouveaute/resultats-de-la-recherche/detail/article/la-formation-generale-des-jeunes-instruction-annuelle/" TargetMode="External"/><Relationship Id="rId20" Type="http://schemas.openxmlformats.org/officeDocument/2006/relationships/hyperlink" Target="http://www.education.gouv.qc.ca/fileadmin/site_web/documents/dpse/formation_jeunes/francais-langue-d-enseignement-sec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dl.oqlf.gouv.qc.ca/bdl/gabarit_bdl.asp?id=2794" TargetMode="External"/><Relationship Id="rId24" Type="http://schemas.openxmlformats.org/officeDocument/2006/relationships/hyperlink" Target="https://educaloi.qc.ca/capsules/cyberintimidation-les-gestes-interdi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gisquebec.gouv.qc.ca/fr/ShowDoc/cr/I-13.3,%20r.%208" TargetMode="External"/><Relationship Id="rId23" Type="http://schemas.openxmlformats.org/officeDocument/2006/relationships/hyperlink" Target="https://educaloi.qc.ca/capsules/cyberintimidation-les-gestes-interdits/" TargetMode="External"/><Relationship Id="rId10" Type="http://schemas.openxmlformats.org/officeDocument/2006/relationships/hyperlink" Target="http://bdl.oqlf.gouv.qc.ca/bdl/gabarit_bdl.asp?id=2794" TargetMode="External"/><Relationship Id="rId19" Type="http://schemas.openxmlformats.org/officeDocument/2006/relationships/hyperlink" Target="http://www.education.gouv.qc.ca/fileadmin/site_web/documents/education/jeunes/pfeq/PDA_PFEQ_francais-langue-enseignement-secondaire_201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rome.google.com/webstore/detail/selection-reader-text-to/fdffijlhedcdiblbingmagmdnokokgbi?hl=fr" TargetMode="External"/><Relationship Id="rId14" Type="http://schemas.openxmlformats.org/officeDocument/2006/relationships/hyperlink" Target="http://legisquebec.gouv.qc.ca/fr/ShowDoc/cs/E-9" TargetMode="External"/><Relationship Id="rId22" Type="http://schemas.openxmlformats.org/officeDocument/2006/relationships/hyperlink" Target="http://bdl.oqlf.gouv.qc.ca/bdl/gabarit_bdl.asp?id=2794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 à distance - Domaine des langues</dc:creator>
  <cp:lastModifiedBy>Formation à distance - Domaine des langues</cp:lastModifiedBy>
  <cp:revision>2</cp:revision>
  <dcterms:created xsi:type="dcterms:W3CDTF">2020-11-17T16:54:00Z</dcterms:created>
  <dcterms:modified xsi:type="dcterms:W3CDTF">2020-11-17T16:54:00Z</dcterms:modified>
</cp:coreProperties>
</file>