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5143929912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650"/>
        <w:gridCol w:w="1215"/>
        <w:gridCol w:w="510"/>
        <w:gridCol w:w="495"/>
        <w:gridCol w:w="1125"/>
        <w:gridCol w:w="816.5143929912391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1650"/>
            <w:gridCol w:w="1215"/>
            <w:gridCol w:w="510"/>
            <w:gridCol w:w="495"/>
            <w:gridCol w:w="1125"/>
            <w:gridCol w:w="816.5143929912391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Titre: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Possibilités d’un GPS avec applications spécifiques aux camions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des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Connaître les possibilités et fonctionnalités d’un outil GPS dans la planification d’un voyage avec un camion.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Définir les utilités principales d’un GPS (Calculateur de temps, de distance, détermine le moment d'arrivée, paramétrage de particularités selon le transport à effectuer,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Énumérer les avantages (Ex: Prévient du moment d’un virage, etc.) et les inconvénients (Ex: imprécisions des bases de données, etc.) du GPS.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Décrire une méthode de travail lors de l’utilisation de l’outil avant de prendre la route et pendant le trajet.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Suggestion  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: Voir  cette théorie (GPS) entre les 2 cours de cartes de MTL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André Desbiens)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ind w:left="0" w:right="0" w:firstLine="0"/>
              <w:rPr>
                <w:b w:val="1"/>
                <w:color w:val="ff0000"/>
              </w:rPr>
            </w:pPr>
            <w:hyperlink r:id="rId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Cahier de l’élève </w:t>
              </w:r>
            </w:hyperlink>
            <w:hyperlink r:id="rId8">
              <w:r w:rsidDel="00000000" w:rsidR="00000000" w:rsidRPr="00000000">
                <w:rPr>
                  <w:b w:val="1"/>
                  <w:color w:val="ff0000"/>
                  <w:u w:val="single"/>
                  <w:rtl w:val="0"/>
                </w:rPr>
                <w:t xml:space="preserve">corrigé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 J-F Villeneuve)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ind w:right="0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anglais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ind w:right="0"/>
              <w:rPr/>
            </w:pPr>
            <w:hyperlink r:id="rId12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ind w:right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Vidéo prévisualisation Google Maps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ind w:right="0"/>
              <w:rPr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Correcteur 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(Référence Michel Desrosiers et Jean-Marc Plante)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ind w:right="0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8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ebec511.info/fr/Diffusion/EtatReseau/Default.aspx" TargetMode="External"/><Relationship Id="rId8" Type="http://schemas.openxmlformats.org/officeDocument/2006/relationships/hyperlink" Target="https://docs.google.com/document/d/1MRu6YZMQjzv3q7F2yCRMSHRb819Kg0dBBlognwAhv6Q/edit?usp=drive_link" TargetMode="External"/><Relationship Id="rId18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hyperlink" Target="https://drive.google.com/open?id=1LnzUAjCBKRd7e8AdrUQFkxxOt1TKIr0Z1ZjOk_jLIXg" TargetMode="External"/><Relationship Id="rId17" Type="http://schemas.openxmlformats.org/officeDocument/2006/relationships/header" Target="header1.xml"/><Relationship Id="rId7" Type="http://schemas.openxmlformats.org/officeDocument/2006/relationships/hyperlink" Target="https://docs.google.com/document/d/1MRu6YZMQjzv3q7F2yCRMSHRb819Kg0dBBlognwAhv6Q/edit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KzqcB-S8YdPbFPt89BVJZfCnO71neJYv9AKbnBtu1to/edit?usp=sharing" TargetMode="External"/><Relationship Id="rId20" Type="http://schemas.openxmlformats.org/officeDocument/2006/relationships/customXml" Target="../customXml/item3.xml"/><Relationship Id="rId11" Type="http://schemas.openxmlformats.org/officeDocument/2006/relationships/hyperlink" Target="https://docs.google.com/presentation/d/1BMA4iYVJwMN7_Qt4QWGbrVBj8thttmKsCLzExlK_Zng/edit?usp=sharing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rive.google.com/open?id=1kY_srp_wTXDcvnpkGMFnHKErZA8jdQNP_NLNf2_zb3w" TargetMode="External"/><Relationship Id="rId15" Type="http://schemas.openxmlformats.org/officeDocument/2006/relationships/hyperlink" Target="https://docs.google.com/document/d/1HJ3qEISVa7eVCgqeOT4LKhxIXIbHsifZKS3pyDHyrpo/edit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rive.google.com/open?id=1u3yoje_plvEu-dX4PsqHe-ksyzAEFDtvoDXjZHask4E" TargetMode="Externa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ntineUuDVbjhhGMT8Z9ZVjDCAP4qpu_apTQzyO8Zm8/edit?usp=sharing" TargetMode="External"/><Relationship Id="rId14" Type="http://schemas.openxmlformats.org/officeDocument/2006/relationships/hyperlink" Target="https://drive.google.com/file/d/1hI4OZyU2Gw_m9_pOFhrzlGod-LyRu-5G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31BDE-8EA4-4729-944C-80200BA744D3}"/>
</file>

<file path=customXml/itemProps2.xml><?xml version="1.0" encoding="utf-8"?>
<ds:datastoreItem xmlns:ds="http://schemas.openxmlformats.org/officeDocument/2006/customXml" ds:itemID="{98F0B579-348B-4CC8-B3C1-20E049283CDE}"/>
</file>

<file path=customXml/itemProps3.xml><?xml version="1.0" encoding="utf-8"?>
<ds:datastoreItem xmlns:ds="http://schemas.openxmlformats.org/officeDocument/2006/customXml" ds:itemID="{DAB269DF-CC0C-4376-8207-55ADC93A22C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