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5B" w:rsidRDefault="00FE1D78">
      <w:pPr>
        <w:spacing w:line="360" w:lineRule="auto"/>
        <w:jc w:val="center"/>
        <w:rPr>
          <w:b/>
          <w:sz w:val="26"/>
          <w:szCs w:val="26"/>
        </w:rPr>
      </w:pPr>
      <w:r>
        <w:rPr>
          <w:b/>
          <w:sz w:val="26"/>
          <w:szCs w:val="26"/>
        </w:rPr>
        <w:t>Les marques de modalité</w:t>
      </w:r>
    </w:p>
    <w:p w:rsidR="00EF375B" w:rsidRDefault="00EF375B">
      <w:pPr>
        <w:spacing w:line="360" w:lineRule="auto"/>
        <w:jc w:val="center"/>
        <w:rPr>
          <w:b/>
          <w:sz w:val="26"/>
          <w:szCs w:val="26"/>
        </w:rPr>
      </w:pPr>
    </w:p>
    <w:p w:rsidR="00EF375B" w:rsidRDefault="00FE1D78">
      <w:pPr>
        <w:spacing w:line="360" w:lineRule="auto"/>
        <w:rPr>
          <w:color w:val="373A3C"/>
        </w:rPr>
      </w:pPr>
      <w:r>
        <w:rPr>
          <w:color w:val="373A3C"/>
        </w:rPr>
        <w:t xml:space="preserve">Des extraits des critiques que tu viens de lire ou d'écouter ont été repris ci-dessous. </w:t>
      </w:r>
    </w:p>
    <w:p w:rsidR="00EF375B" w:rsidRDefault="00EF375B">
      <w:pPr>
        <w:spacing w:line="360" w:lineRule="auto"/>
        <w:rPr>
          <w:color w:val="373A3C"/>
        </w:rPr>
      </w:pPr>
    </w:p>
    <w:p w:rsidR="00EF375B" w:rsidRDefault="00FE1D78">
      <w:pPr>
        <w:numPr>
          <w:ilvl w:val="0"/>
          <w:numId w:val="5"/>
        </w:numPr>
        <w:spacing w:line="360" w:lineRule="auto"/>
        <w:rPr>
          <w:color w:val="373A3C"/>
        </w:rPr>
      </w:pPr>
      <w:r>
        <w:rPr>
          <w:color w:val="373A3C"/>
        </w:rPr>
        <w:t>Dans chacun des quat</w:t>
      </w:r>
      <w:bookmarkStart w:id="0" w:name="_GoBack"/>
      <w:bookmarkEnd w:id="0"/>
      <w:r>
        <w:rPr>
          <w:color w:val="373A3C"/>
        </w:rPr>
        <w:t xml:space="preserve">re (4) extraits, </w:t>
      </w:r>
      <w:r>
        <w:rPr>
          <w:b/>
          <w:color w:val="373A3C"/>
        </w:rPr>
        <w:t>repère les marques de modalité</w:t>
      </w:r>
      <w:r>
        <w:rPr>
          <w:color w:val="373A3C"/>
        </w:rPr>
        <w:t xml:space="preserve"> qui révèlent le rapport subjectif de l’auteur ou de l'autrice avec l’œuvre commentée.</w:t>
      </w:r>
    </w:p>
    <w:p w:rsidR="00EF375B" w:rsidRDefault="00FE1D78">
      <w:pPr>
        <w:numPr>
          <w:ilvl w:val="0"/>
          <w:numId w:val="5"/>
        </w:numPr>
        <w:spacing w:line="360" w:lineRule="auto"/>
        <w:rPr>
          <w:color w:val="373A3C"/>
        </w:rPr>
      </w:pPr>
      <w:r>
        <w:rPr>
          <w:color w:val="373A3C"/>
        </w:rPr>
        <w:t xml:space="preserve">Dans l’encadré qui suit chaque extrait, </w:t>
      </w:r>
      <w:r w:rsidR="009A116C" w:rsidRPr="009A116C">
        <w:rPr>
          <w:color w:val="373A3C"/>
        </w:rPr>
        <w:t>coche</w:t>
      </w:r>
      <w:r w:rsidRPr="009A116C">
        <w:rPr>
          <w:color w:val="373A3C"/>
        </w:rPr>
        <w:t xml:space="preserve"> les procédés</w:t>
      </w:r>
      <w:r>
        <w:rPr>
          <w:color w:val="373A3C"/>
        </w:rPr>
        <w:t xml:space="preserve"> correspondant à ces marques de modalité. </w:t>
      </w:r>
    </w:p>
    <w:p w:rsidR="00EF375B" w:rsidRDefault="00EF375B">
      <w:pPr>
        <w:spacing w:line="360" w:lineRule="auto"/>
        <w:ind w:left="720"/>
        <w:rPr>
          <w:color w:val="373A3C"/>
        </w:rPr>
      </w:pPr>
    </w:p>
    <w:p w:rsidR="00EF375B" w:rsidRDefault="00FE1D78">
      <w:pPr>
        <w:pStyle w:val="Titre4"/>
        <w:keepNext w:val="0"/>
        <w:keepLines w:val="0"/>
        <w:shd w:val="clear" w:color="auto" w:fill="EBEDEE"/>
        <w:spacing w:before="0" w:after="40" w:line="288" w:lineRule="auto"/>
        <w:rPr>
          <w:b/>
          <w:color w:val="343A40"/>
          <w:sz w:val="22"/>
          <w:szCs w:val="22"/>
        </w:rPr>
      </w:pPr>
      <w:bookmarkStart w:id="1" w:name="_cips0asyckzr" w:colFirst="0" w:colLast="0"/>
      <w:bookmarkEnd w:id="1"/>
      <w:r>
        <w:rPr>
          <w:b/>
          <w:color w:val="343A40"/>
          <w:sz w:val="22"/>
          <w:szCs w:val="22"/>
        </w:rPr>
        <w:t>EXTRAIT 1</w:t>
      </w:r>
    </w:p>
    <w:p w:rsidR="00EF375B" w:rsidRDefault="00EF375B">
      <w:pPr>
        <w:spacing w:line="360" w:lineRule="auto"/>
        <w:ind w:left="720"/>
        <w:rPr>
          <w:color w:val="373A3C"/>
        </w:rPr>
      </w:pPr>
    </w:p>
    <w:p w:rsidR="00EF375B" w:rsidRDefault="00377768">
      <w:pPr>
        <w:numPr>
          <w:ilvl w:val="0"/>
          <w:numId w:val="1"/>
        </w:numPr>
        <w:spacing w:line="360" w:lineRule="auto"/>
        <w:rPr>
          <w:color w:val="373A3C"/>
        </w:rPr>
      </w:pPr>
      <w:r>
        <w:rPr>
          <w:color w:val="373A3C"/>
        </w:rPr>
        <w:t>Surligne</w:t>
      </w:r>
      <w:r w:rsidR="00FE1D78">
        <w:rPr>
          <w:color w:val="373A3C"/>
        </w:rPr>
        <w:t xml:space="preserve"> les marques de modalité.</w:t>
      </w:r>
    </w:p>
    <w:p w:rsidR="00FE1D78" w:rsidRDefault="00FE1D78" w:rsidP="00FE1D78">
      <w:pPr>
        <w:spacing w:before="80" w:after="80" w:line="360" w:lineRule="auto"/>
        <w:ind w:left="29" w:right="33"/>
        <w:jc w:val="both"/>
      </w:pPr>
      <w:r w:rsidRPr="00FE1D78">
        <w:t>« C’est de la pure fantaisie, et c’est de la fort belle fantaisie. C’est un roman noir - mais vraiment un roman même très très très noir - qui a l’avantage de nous faire découvrir une région (le Témiscouata). [...] Il y a un aspect hanté. [...] C’est très joliment écrit; c’est très convaincant. [...] J’ai beaucoup, beaucoup aimé ça. [...] C’est vraiment, extrêmement agréable! »</w:t>
      </w:r>
    </w:p>
    <w:p w:rsidR="00FE1D78" w:rsidRDefault="00FE1D78" w:rsidP="00FE1D78"/>
    <w:p w:rsidR="00EF375B" w:rsidRDefault="00FE1D78">
      <w:pPr>
        <w:jc w:val="right"/>
        <w:rPr>
          <w:sz w:val="18"/>
          <w:szCs w:val="18"/>
        </w:rPr>
      </w:pPr>
      <w:r>
        <w:rPr>
          <w:sz w:val="18"/>
          <w:szCs w:val="18"/>
        </w:rPr>
        <w:t xml:space="preserve">HOMIER-ROY, René, « Critique de livre : </w:t>
      </w:r>
      <w:r>
        <w:rPr>
          <w:i/>
          <w:sz w:val="18"/>
          <w:szCs w:val="18"/>
        </w:rPr>
        <w:t>Rang de la croix</w:t>
      </w:r>
      <w:r>
        <w:rPr>
          <w:sz w:val="18"/>
          <w:szCs w:val="18"/>
        </w:rPr>
        <w:t>, de Katia Gagnon ».</w:t>
      </w:r>
      <w:r>
        <w:rPr>
          <w:sz w:val="18"/>
          <w:szCs w:val="18"/>
        </w:rPr>
        <w:br/>
        <w:t xml:space="preserve"> </w:t>
      </w:r>
      <w:r>
        <w:rPr>
          <w:i/>
          <w:sz w:val="18"/>
          <w:szCs w:val="18"/>
        </w:rPr>
        <w:t>Culture Club</w:t>
      </w:r>
      <w:r>
        <w:rPr>
          <w:sz w:val="18"/>
          <w:szCs w:val="18"/>
        </w:rPr>
        <w:t>. ICI Première, audio fil du 20 juillet 2019, 14h42.</w:t>
      </w:r>
    </w:p>
    <w:p w:rsidR="00EF375B" w:rsidRDefault="00EF375B"/>
    <w:p w:rsidR="00EF375B" w:rsidRDefault="009A116C">
      <w:pPr>
        <w:numPr>
          <w:ilvl w:val="0"/>
          <w:numId w:val="1"/>
        </w:numPr>
        <w:spacing w:before="80" w:after="80"/>
        <w:ind w:right="33"/>
        <w:jc w:val="both"/>
      </w:pPr>
      <w:r>
        <w:rPr>
          <w:color w:val="373A3C"/>
        </w:rPr>
        <w:t>Coche</w:t>
      </w:r>
      <w:r w:rsidR="00FE1D78">
        <w:rPr>
          <w:color w:val="373A3C"/>
        </w:rPr>
        <w:t xml:space="preserve"> les procédés dans l’encadré ci-dessous.</w:t>
      </w:r>
      <w:r w:rsidR="00FE1D78">
        <w:t xml:space="preserve"> </w:t>
      </w:r>
    </w:p>
    <w:p w:rsidR="00EF375B" w:rsidRDefault="00EF375B">
      <w:pPr>
        <w:spacing w:before="80" w:after="80"/>
        <w:ind w:left="29" w:right="33"/>
        <w:jc w:val="both"/>
      </w:pPr>
    </w:p>
    <w:tbl>
      <w:tblPr>
        <w:tblStyle w:val="a"/>
        <w:tblW w:w="3870"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ncadré"/>
        <w:tblDescription w:val="Liste de procédés à cocher."/>
      </w:tblPr>
      <w:tblGrid>
        <w:gridCol w:w="3870"/>
      </w:tblGrid>
      <w:tr w:rsidR="00DF5850" w:rsidTr="00DF5850">
        <w:tc>
          <w:tcPr>
            <w:tcW w:w="3870" w:type="dxa"/>
            <w:shd w:val="clear" w:color="auto" w:fill="auto"/>
            <w:tcMar>
              <w:top w:w="100" w:type="dxa"/>
              <w:left w:w="100" w:type="dxa"/>
              <w:bottom w:w="100" w:type="dxa"/>
              <w:right w:w="100" w:type="dxa"/>
            </w:tcMar>
          </w:tcPr>
          <w:p w:rsidR="00DF5850" w:rsidRPr="009A116C" w:rsidRDefault="00DF5850">
            <w:pPr>
              <w:widowControl w:val="0"/>
              <w:pBdr>
                <w:top w:val="nil"/>
                <w:left w:val="nil"/>
                <w:bottom w:val="nil"/>
                <w:right w:val="nil"/>
                <w:between w:val="nil"/>
              </w:pBdr>
              <w:spacing w:line="240" w:lineRule="auto"/>
              <w:rPr>
                <w:b/>
              </w:rPr>
            </w:pPr>
            <w:r w:rsidRPr="009A116C">
              <w:rPr>
                <w:b/>
              </w:rPr>
              <w:t>Procédés utilisés :</w:t>
            </w:r>
          </w:p>
        </w:tc>
      </w:tr>
      <w:tr w:rsidR="00DF5850" w:rsidTr="00DF5850">
        <w:tc>
          <w:tcPr>
            <w:tcW w:w="3870" w:type="dxa"/>
            <w:shd w:val="clear" w:color="auto" w:fill="auto"/>
            <w:tcMar>
              <w:top w:w="100" w:type="dxa"/>
              <w:left w:w="100" w:type="dxa"/>
              <w:bottom w:w="100" w:type="dxa"/>
              <w:right w:w="100" w:type="dxa"/>
            </w:tcMar>
          </w:tcPr>
          <w:p w:rsidR="00DF5850" w:rsidRDefault="00DF5850" w:rsidP="009A116C">
            <w:pPr>
              <w:widowControl w:val="0"/>
              <w:pBdr>
                <w:top w:val="nil"/>
                <w:left w:val="nil"/>
                <w:bottom w:val="nil"/>
                <w:right w:val="nil"/>
                <w:between w:val="nil"/>
              </w:pBdr>
              <w:spacing w:line="240" w:lineRule="auto"/>
              <w:ind w:left="360"/>
            </w:pPr>
            <w:sdt>
              <w:sdtPr>
                <w:id w:val="-16281505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Auxiliaire(s) de modalité</w:t>
            </w:r>
          </w:p>
          <w:p w:rsidR="00DF5850" w:rsidRDefault="00DF5850" w:rsidP="009A116C">
            <w:pPr>
              <w:widowControl w:val="0"/>
              <w:pBdr>
                <w:top w:val="nil"/>
                <w:left w:val="nil"/>
                <w:bottom w:val="nil"/>
                <w:right w:val="nil"/>
                <w:between w:val="nil"/>
              </w:pBdr>
              <w:spacing w:line="240" w:lineRule="auto"/>
              <w:ind w:left="360"/>
            </w:pPr>
            <w:sdt>
              <w:sdtPr>
                <w:id w:val="-18540266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Figure(s) de style</w:t>
            </w:r>
          </w:p>
          <w:p w:rsidR="00DF5850" w:rsidRDefault="00DF5850" w:rsidP="009A116C">
            <w:pPr>
              <w:widowControl w:val="0"/>
              <w:pBdr>
                <w:top w:val="nil"/>
                <w:left w:val="nil"/>
                <w:bottom w:val="nil"/>
                <w:right w:val="nil"/>
                <w:between w:val="nil"/>
              </w:pBdr>
              <w:spacing w:line="240" w:lineRule="auto"/>
              <w:ind w:left="360"/>
            </w:pPr>
            <w:sdt>
              <w:sdtPr>
                <w:id w:val="4143605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Marque(s) énonciative(s)</w:t>
            </w:r>
          </w:p>
          <w:p w:rsidR="00DF5850" w:rsidRDefault="00DF5850" w:rsidP="009A116C">
            <w:pPr>
              <w:widowControl w:val="0"/>
              <w:pBdr>
                <w:top w:val="nil"/>
                <w:left w:val="nil"/>
                <w:bottom w:val="nil"/>
                <w:right w:val="nil"/>
                <w:between w:val="nil"/>
              </w:pBdr>
              <w:spacing w:line="240" w:lineRule="auto"/>
              <w:ind w:left="360"/>
            </w:pPr>
            <w:sdt>
              <w:sdtPr>
                <w:id w:val="-659226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Ponctuation expressive</w:t>
            </w:r>
          </w:p>
          <w:p w:rsidR="00DF5850" w:rsidRDefault="00DF5850" w:rsidP="009A116C">
            <w:pPr>
              <w:widowControl w:val="0"/>
              <w:pBdr>
                <w:top w:val="nil"/>
                <w:left w:val="nil"/>
                <w:bottom w:val="nil"/>
                <w:right w:val="nil"/>
                <w:between w:val="nil"/>
              </w:pBdr>
              <w:spacing w:line="240" w:lineRule="auto"/>
              <w:ind w:left="360"/>
            </w:pPr>
            <w:sdt>
              <w:sdtPr>
                <w:id w:val="-18223423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Procédé typographique</w:t>
            </w:r>
          </w:p>
          <w:p w:rsidR="00DF5850" w:rsidRDefault="00DF5850" w:rsidP="009A116C">
            <w:pPr>
              <w:widowControl w:val="0"/>
              <w:pBdr>
                <w:top w:val="nil"/>
                <w:left w:val="nil"/>
                <w:bottom w:val="nil"/>
                <w:right w:val="nil"/>
                <w:between w:val="nil"/>
              </w:pBdr>
              <w:spacing w:line="240" w:lineRule="auto"/>
              <w:ind w:left="360"/>
            </w:pPr>
            <w:sdt>
              <w:sdtPr>
                <w:id w:val="12587190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Structure de phrase</w:t>
            </w:r>
          </w:p>
          <w:p w:rsidR="00DF5850" w:rsidRDefault="00DF5850" w:rsidP="009A116C">
            <w:pPr>
              <w:widowControl w:val="0"/>
              <w:pBdr>
                <w:top w:val="nil"/>
                <w:left w:val="nil"/>
                <w:bottom w:val="nil"/>
                <w:right w:val="nil"/>
                <w:between w:val="nil"/>
              </w:pBdr>
              <w:spacing w:line="240" w:lineRule="auto"/>
              <w:ind w:left="360"/>
            </w:pPr>
            <w:sdt>
              <w:sdtPr>
                <w:id w:val="10548954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Vocabulaire connoté</w:t>
            </w:r>
          </w:p>
        </w:tc>
      </w:tr>
    </w:tbl>
    <w:p w:rsidR="00EF375B" w:rsidRDefault="00FE1D78">
      <w:pPr>
        <w:spacing w:before="80" w:after="80"/>
        <w:ind w:left="29" w:right="33"/>
        <w:jc w:val="both"/>
      </w:pPr>
      <w:r>
        <w:br w:type="page"/>
      </w:r>
    </w:p>
    <w:p w:rsidR="00EF375B" w:rsidRDefault="00FE1D78">
      <w:pPr>
        <w:pStyle w:val="Titre4"/>
        <w:keepNext w:val="0"/>
        <w:keepLines w:val="0"/>
        <w:shd w:val="clear" w:color="auto" w:fill="EBEDEE"/>
        <w:spacing w:before="0" w:after="40" w:line="288" w:lineRule="auto"/>
        <w:ind w:right="33"/>
        <w:jc w:val="both"/>
        <w:rPr>
          <w:b/>
          <w:color w:val="343A40"/>
          <w:sz w:val="22"/>
          <w:szCs w:val="22"/>
        </w:rPr>
      </w:pPr>
      <w:bookmarkStart w:id="2" w:name="_bsc6p9n7853x" w:colFirst="0" w:colLast="0"/>
      <w:bookmarkEnd w:id="2"/>
      <w:r>
        <w:rPr>
          <w:b/>
          <w:color w:val="343A40"/>
          <w:sz w:val="22"/>
          <w:szCs w:val="22"/>
        </w:rPr>
        <w:lastRenderedPageBreak/>
        <w:t>EXTRAIT 2</w:t>
      </w:r>
    </w:p>
    <w:p w:rsidR="00EF375B" w:rsidRDefault="00EF375B">
      <w:pPr>
        <w:spacing w:line="360" w:lineRule="auto"/>
        <w:rPr>
          <w:color w:val="373A3C"/>
        </w:rPr>
      </w:pPr>
    </w:p>
    <w:p w:rsidR="00EF375B" w:rsidRDefault="00377768">
      <w:pPr>
        <w:numPr>
          <w:ilvl w:val="0"/>
          <w:numId w:val="3"/>
        </w:numPr>
        <w:spacing w:line="360" w:lineRule="auto"/>
        <w:rPr>
          <w:color w:val="373A3C"/>
        </w:rPr>
      </w:pPr>
      <w:r>
        <w:rPr>
          <w:color w:val="373A3C"/>
        </w:rPr>
        <w:t>Surligne</w:t>
      </w:r>
      <w:r w:rsidR="00FE1D78">
        <w:rPr>
          <w:color w:val="373A3C"/>
        </w:rPr>
        <w:t xml:space="preserve"> les marques de modalité.</w:t>
      </w:r>
    </w:p>
    <w:p w:rsidR="00EF375B" w:rsidRDefault="00EF375B">
      <w:pPr>
        <w:spacing w:line="360" w:lineRule="auto"/>
        <w:rPr>
          <w:color w:val="373A3C"/>
          <w:sz w:val="24"/>
          <w:szCs w:val="24"/>
        </w:rPr>
      </w:pPr>
    </w:p>
    <w:p w:rsidR="00EF375B" w:rsidRDefault="00FE1D78">
      <w:pPr>
        <w:spacing w:before="80" w:after="80" w:line="360" w:lineRule="auto"/>
        <w:ind w:left="29" w:right="33"/>
        <w:jc w:val="both"/>
      </w:pPr>
      <w:r>
        <w:t>« [</w:t>
      </w:r>
      <w:r>
        <w:rPr>
          <w:i/>
        </w:rPr>
        <w:t>Rien que la vie</w:t>
      </w:r>
      <w:r>
        <w:t xml:space="preserve">] renferme quelques-uns des plus beaux joyaux littéraires qu’elle </w:t>
      </w:r>
      <w:r>
        <w:rPr>
          <w:rFonts w:ascii="Symbol" w:eastAsia="Symbol" w:hAnsi="Symbol" w:cs="Symbol"/>
        </w:rPr>
        <w:t></w:t>
      </w:r>
      <w:r>
        <w:t>Alice Munro] aura ciselés de sa prose envoûtante, subtile et précise, parvenant à brosser, à coups de plume à la fois très légers et pourtant incisifs, le destin souvent banal de ses personnages, qu’elle réussit, habile mystificatrice, à rendre exceptionnels. »</w:t>
      </w:r>
    </w:p>
    <w:p w:rsidR="00EF375B" w:rsidRDefault="00EF375B">
      <w:pPr>
        <w:spacing w:before="80" w:after="80" w:line="360" w:lineRule="auto"/>
        <w:ind w:right="33"/>
        <w:jc w:val="both"/>
      </w:pPr>
    </w:p>
    <w:p w:rsidR="00EF375B" w:rsidRDefault="00FE1D78" w:rsidP="009A116C">
      <w:pPr>
        <w:spacing w:before="80" w:after="200" w:line="240" w:lineRule="auto"/>
        <w:ind w:left="171" w:right="181"/>
        <w:jc w:val="right"/>
        <w:rPr>
          <w:sz w:val="18"/>
          <w:szCs w:val="18"/>
        </w:rPr>
      </w:pPr>
      <w:r>
        <w:rPr>
          <w:sz w:val="18"/>
          <w:szCs w:val="18"/>
        </w:rPr>
        <w:t xml:space="preserve">L’ITALIEN-SAVARD, Isabelle, « Rien que la vie ». </w:t>
      </w:r>
      <w:r>
        <w:rPr>
          <w:i/>
          <w:sz w:val="18"/>
          <w:szCs w:val="18"/>
        </w:rPr>
        <w:t>Québec français</w:t>
      </w:r>
      <w:r>
        <w:rPr>
          <w:sz w:val="18"/>
          <w:szCs w:val="18"/>
        </w:rPr>
        <w:t xml:space="preserve">, numéro 174, </w:t>
      </w:r>
      <w:r w:rsidR="009A116C">
        <w:rPr>
          <w:sz w:val="18"/>
          <w:szCs w:val="18"/>
        </w:rPr>
        <w:br/>
      </w:r>
      <w:r>
        <w:rPr>
          <w:sz w:val="18"/>
          <w:szCs w:val="18"/>
        </w:rPr>
        <w:t>printemps 2009, p. 112-113.</w:t>
      </w:r>
    </w:p>
    <w:p w:rsidR="00EF375B" w:rsidRDefault="00EF375B">
      <w:pPr>
        <w:spacing w:before="80" w:after="200" w:line="240" w:lineRule="auto"/>
        <w:ind w:left="171" w:right="181"/>
        <w:jc w:val="right"/>
        <w:rPr>
          <w:sz w:val="18"/>
          <w:szCs w:val="18"/>
        </w:rPr>
      </w:pPr>
    </w:p>
    <w:p w:rsidR="00EF375B" w:rsidRDefault="009A116C">
      <w:pPr>
        <w:numPr>
          <w:ilvl w:val="0"/>
          <w:numId w:val="3"/>
        </w:numPr>
        <w:spacing w:before="80" w:after="80"/>
        <w:ind w:right="33"/>
        <w:jc w:val="both"/>
      </w:pPr>
      <w:r>
        <w:rPr>
          <w:color w:val="373A3C"/>
        </w:rPr>
        <w:t xml:space="preserve">Coche </w:t>
      </w:r>
      <w:r w:rsidR="00FE1D78">
        <w:rPr>
          <w:color w:val="373A3C"/>
        </w:rPr>
        <w:t>les procédés dans l’encadré ci-dessous.</w:t>
      </w:r>
      <w:r w:rsidR="00FE1D78">
        <w:t xml:space="preserve"> </w:t>
      </w:r>
    </w:p>
    <w:p w:rsidR="009A116C" w:rsidRDefault="009A116C" w:rsidP="009A116C">
      <w:pPr>
        <w:spacing w:before="80" w:after="80"/>
        <w:ind w:left="720" w:right="33"/>
        <w:jc w:val="both"/>
      </w:pPr>
    </w:p>
    <w:tbl>
      <w:tblPr>
        <w:tblStyle w:val="a"/>
        <w:tblW w:w="3870"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ncadré"/>
        <w:tblDescription w:val="Liste de procédés à cocher"/>
      </w:tblPr>
      <w:tblGrid>
        <w:gridCol w:w="3870"/>
      </w:tblGrid>
      <w:tr w:rsidR="00DF5850" w:rsidTr="00DF5850">
        <w:tc>
          <w:tcPr>
            <w:tcW w:w="3870" w:type="dxa"/>
            <w:shd w:val="clear" w:color="auto" w:fill="auto"/>
            <w:tcMar>
              <w:top w:w="100" w:type="dxa"/>
              <w:left w:w="100" w:type="dxa"/>
              <w:bottom w:w="100" w:type="dxa"/>
              <w:right w:w="100" w:type="dxa"/>
            </w:tcMar>
          </w:tcPr>
          <w:p w:rsidR="00DF5850" w:rsidRPr="009A116C" w:rsidRDefault="00DF5850" w:rsidP="00E96905">
            <w:pPr>
              <w:widowControl w:val="0"/>
              <w:pBdr>
                <w:top w:val="nil"/>
                <w:left w:val="nil"/>
                <w:bottom w:val="nil"/>
                <w:right w:val="nil"/>
                <w:between w:val="nil"/>
              </w:pBdr>
              <w:spacing w:line="240" w:lineRule="auto"/>
              <w:rPr>
                <w:b/>
              </w:rPr>
            </w:pPr>
            <w:r w:rsidRPr="009A116C">
              <w:rPr>
                <w:b/>
              </w:rPr>
              <w:t>Procédés utilisés :</w:t>
            </w:r>
          </w:p>
        </w:tc>
      </w:tr>
      <w:tr w:rsidR="00DF5850" w:rsidTr="00DF5850">
        <w:tc>
          <w:tcPr>
            <w:tcW w:w="3870" w:type="dxa"/>
            <w:shd w:val="clear" w:color="auto" w:fill="auto"/>
            <w:tcMar>
              <w:top w:w="100" w:type="dxa"/>
              <w:left w:w="100" w:type="dxa"/>
              <w:bottom w:w="100" w:type="dxa"/>
              <w:right w:w="100" w:type="dxa"/>
            </w:tcMar>
          </w:tcPr>
          <w:p w:rsidR="00DF5850" w:rsidRDefault="00DF5850" w:rsidP="00E96905">
            <w:pPr>
              <w:widowControl w:val="0"/>
              <w:pBdr>
                <w:top w:val="nil"/>
                <w:left w:val="nil"/>
                <w:bottom w:val="nil"/>
                <w:right w:val="nil"/>
                <w:between w:val="nil"/>
              </w:pBdr>
              <w:spacing w:line="240" w:lineRule="auto"/>
              <w:ind w:left="360"/>
            </w:pPr>
            <w:sdt>
              <w:sdtPr>
                <w:id w:val="20680692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Auxiliaire(s) de modalité</w:t>
            </w:r>
          </w:p>
          <w:p w:rsidR="00DF5850" w:rsidRDefault="00DF5850" w:rsidP="00E96905">
            <w:pPr>
              <w:widowControl w:val="0"/>
              <w:pBdr>
                <w:top w:val="nil"/>
                <w:left w:val="nil"/>
                <w:bottom w:val="nil"/>
                <w:right w:val="nil"/>
                <w:between w:val="nil"/>
              </w:pBdr>
              <w:spacing w:line="240" w:lineRule="auto"/>
              <w:ind w:left="360"/>
            </w:pPr>
            <w:sdt>
              <w:sdtPr>
                <w:id w:val="18139876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Figure(s) de style</w:t>
            </w:r>
          </w:p>
          <w:p w:rsidR="00DF5850" w:rsidRDefault="00DF5850" w:rsidP="00E96905">
            <w:pPr>
              <w:widowControl w:val="0"/>
              <w:pBdr>
                <w:top w:val="nil"/>
                <w:left w:val="nil"/>
                <w:bottom w:val="nil"/>
                <w:right w:val="nil"/>
                <w:between w:val="nil"/>
              </w:pBdr>
              <w:spacing w:line="240" w:lineRule="auto"/>
              <w:ind w:left="360"/>
            </w:pPr>
            <w:sdt>
              <w:sdtPr>
                <w:id w:val="4043402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Marque(s) énonciative(s)</w:t>
            </w:r>
          </w:p>
          <w:p w:rsidR="00DF5850" w:rsidRDefault="00DF5850" w:rsidP="00E96905">
            <w:pPr>
              <w:widowControl w:val="0"/>
              <w:pBdr>
                <w:top w:val="nil"/>
                <w:left w:val="nil"/>
                <w:bottom w:val="nil"/>
                <w:right w:val="nil"/>
                <w:between w:val="nil"/>
              </w:pBdr>
              <w:spacing w:line="240" w:lineRule="auto"/>
              <w:ind w:left="360"/>
            </w:pPr>
            <w:sdt>
              <w:sdtPr>
                <w:id w:val="-5718901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Ponctuation expressive</w:t>
            </w:r>
          </w:p>
          <w:p w:rsidR="00DF5850" w:rsidRDefault="00DF5850" w:rsidP="00E96905">
            <w:pPr>
              <w:widowControl w:val="0"/>
              <w:pBdr>
                <w:top w:val="nil"/>
                <w:left w:val="nil"/>
                <w:bottom w:val="nil"/>
                <w:right w:val="nil"/>
                <w:between w:val="nil"/>
              </w:pBdr>
              <w:spacing w:line="240" w:lineRule="auto"/>
              <w:ind w:left="360"/>
            </w:pPr>
            <w:sdt>
              <w:sdtPr>
                <w:id w:val="8294048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Procédé typographique</w:t>
            </w:r>
          </w:p>
          <w:p w:rsidR="00DF5850" w:rsidRDefault="00DF5850" w:rsidP="00E96905">
            <w:pPr>
              <w:widowControl w:val="0"/>
              <w:pBdr>
                <w:top w:val="nil"/>
                <w:left w:val="nil"/>
                <w:bottom w:val="nil"/>
                <w:right w:val="nil"/>
                <w:between w:val="nil"/>
              </w:pBdr>
              <w:spacing w:line="240" w:lineRule="auto"/>
              <w:ind w:left="360"/>
            </w:pPr>
            <w:sdt>
              <w:sdtPr>
                <w:id w:val="2436194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Structure de phrase</w:t>
            </w:r>
          </w:p>
          <w:p w:rsidR="00DF5850" w:rsidRDefault="00DF5850" w:rsidP="00E96905">
            <w:pPr>
              <w:widowControl w:val="0"/>
              <w:pBdr>
                <w:top w:val="nil"/>
                <w:left w:val="nil"/>
                <w:bottom w:val="nil"/>
                <w:right w:val="nil"/>
                <w:between w:val="nil"/>
              </w:pBdr>
              <w:spacing w:line="240" w:lineRule="auto"/>
              <w:ind w:left="360"/>
            </w:pPr>
            <w:sdt>
              <w:sdtPr>
                <w:id w:val="-180814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Vocabulaire connoté</w:t>
            </w:r>
          </w:p>
        </w:tc>
      </w:tr>
    </w:tbl>
    <w:p w:rsidR="009A116C" w:rsidRDefault="009A116C" w:rsidP="009A116C">
      <w:pPr>
        <w:spacing w:before="80" w:after="80"/>
        <w:ind w:right="33"/>
        <w:jc w:val="both"/>
      </w:pPr>
    </w:p>
    <w:p w:rsidR="009A116C" w:rsidRDefault="009A116C">
      <w:pPr>
        <w:rPr>
          <w:b/>
          <w:color w:val="343A40"/>
        </w:rPr>
      </w:pPr>
      <w:bookmarkStart w:id="3" w:name="_g0zdjj1q1hk5" w:colFirst="0" w:colLast="0"/>
      <w:bookmarkEnd w:id="3"/>
      <w:r>
        <w:rPr>
          <w:b/>
          <w:color w:val="343A40"/>
        </w:rPr>
        <w:br w:type="page"/>
      </w:r>
    </w:p>
    <w:p w:rsidR="00EF375B" w:rsidRDefault="00FE1D78">
      <w:pPr>
        <w:pStyle w:val="Titre4"/>
        <w:keepNext w:val="0"/>
        <w:keepLines w:val="0"/>
        <w:shd w:val="clear" w:color="auto" w:fill="EBEDEE"/>
        <w:spacing w:before="0" w:after="40" w:line="288" w:lineRule="auto"/>
        <w:ind w:right="33"/>
        <w:jc w:val="both"/>
        <w:rPr>
          <w:b/>
          <w:color w:val="343A40"/>
          <w:sz w:val="22"/>
          <w:szCs w:val="22"/>
        </w:rPr>
      </w:pPr>
      <w:r>
        <w:rPr>
          <w:b/>
          <w:color w:val="343A40"/>
          <w:sz w:val="22"/>
          <w:szCs w:val="22"/>
        </w:rPr>
        <w:lastRenderedPageBreak/>
        <w:t>EXTRAIT 3</w:t>
      </w:r>
    </w:p>
    <w:p w:rsidR="00EF375B" w:rsidRDefault="00EF375B">
      <w:pPr>
        <w:spacing w:line="360" w:lineRule="auto"/>
        <w:rPr>
          <w:color w:val="373A3C"/>
        </w:rPr>
      </w:pPr>
    </w:p>
    <w:p w:rsidR="00EF375B" w:rsidRDefault="00377768">
      <w:pPr>
        <w:numPr>
          <w:ilvl w:val="0"/>
          <w:numId w:val="4"/>
        </w:numPr>
        <w:spacing w:line="360" w:lineRule="auto"/>
        <w:rPr>
          <w:color w:val="373A3C"/>
        </w:rPr>
      </w:pPr>
      <w:r>
        <w:rPr>
          <w:color w:val="373A3C"/>
        </w:rPr>
        <w:t>Surligne</w:t>
      </w:r>
      <w:r w:rsidR="00FE1D78">
        <w:rPr>
          <w:color w:val="373A3C"/>
        </w:rPr>
        <w:t xml:space="preserve"> les marques de modalité.</w:t>
      </w:r>
    </w:p>
    <w:p w:rsidR="00EF375B" w:rsidRDefault="00FE1D78">
      <w:pPr>
        <w:pBdr>
          <w:top w:val="nil"/>
          <w:left w:val="nil"/>
          <w:bottom w:val="nil"/>
          <w:right w:val="nil"/>
          <w:between w:val="nil"/>
        </w:pBdr>
        <w:spacing w:before="80" w:after="80" w:line="360" w:lineRule="auto"/>
        <w:ind w:left="29" w:right="33"/>
        <w:jc w:val="both"/>
      </w:pPr>
      <w:r>
        <w:t>« Une narration longue et descriptive. Des discours semi anglais semi français. Un polar qui prend du temps à se mettre en place et devenir (sic) parfois soporifique. Mais cependant j'ai apprécié le mélange légende et polar, le parallèle entre ces deux étés à Bondrée. J'ai apprécié l'intervention de cette jeune fille Andrée qui apporte une vision plus enfantine de la situation. D'ailleurs ce sont les parties du roman que j'ai le plus aimé (sic) avec la scène finale explosive. »</w:t>
      </w:r>
    </w:p>
    <w:p w:rsidR="00EF375B" w:rsidRDefault="00EF375B">
      <w:pPr>
        <w:spacing w:before="80" w:after="200" w:line="240" w:lineRule="auto"/>
        <w:ind w:left="171" w:right="181"/>
        <w:jc w:val="both"/>
      </w:pPr>
    </w:p>
    <w:p w:rsidR="00EF375B" w:rsidRDefault="00FE1D78">
      <w:pPr>
        <w:spacing w:before="80" w:after="200" w:line="240" w:lineRule="auto"/>
        <w:ind w:left="171" w:right="181"/>
        <w:jc w:val="right"/>
        <w:rPr>
          <w:sz w:val="18"/>
          <w:szCs w:val="18"/>
        </w:rPr>
      </w:pPr>
      <w:r>
        <w:rPr>
          <w:sz w:val="18"/>
          <w:szCs w:val="18"/>
        </w:rPr>
        <w:t xml:space="preserve">Gaoulette (pseudonyme). </w:t>
      </w:r>
      <w:r>
        <w:rPr>
          <w:i/>
          <w:sz w:val="18"/>
          <w:szCs w:val="18"/>
        </w:rPr>
        <w:t>Bondrée</w:t>
      </w:r>
      <w:r>
        <w:rPr>
          <w:sz w:val="18"/>
          <w:szCs w:val="18"/>
        </w:rPr>
        <w:t xml:space="preserve">, roman d’Andrée A. Michaud. </w:t>
      </w:r>
      <w:r>
        <w:rPr>
          <w:sz w:val="18"/>
          <w:szCs w:val="18"/>
        </w:rPr>
        <w:br/>
      </w:r>
      <w:r>
        <w:rPr>
          <w:i/>
          <w:sz w:val="18"/>
          <w:szCs w:val="18"/>
        </w:rPr>
        <w:t>Critiques</w:t>
      </w:r>
      <w:r>
        <w:rPr>
          <w:sz w:val="18"/>
          <w:szCs w:val="18"/>
        </w:rPr>
        <w:t>, 20 février 2018. [</w:t>
      </w:r>
      <w:hyperlink r:id="rId8">
        <w:r>
          <w:rPr>
            <w:i/>
            <w:color w:val="0000FF"/>
            <w:sz w:val="18"/>
            <w:szCs w:val="18"/>
            <w:u w:val="single"/>
          </w:rPr>
          <w:t>Babelio</w:t>
        </w:r>
      </w:hyperlink>
      <w:r>
        <w:rPr>
          <w:sz w:val="18"/>
          <w:szCs w:val="18"/>
        </w:rPr>
        <w:t>]</w:t>
      </w:r>
    </w:p>
    <w:p w:rsidR="00EF375B" w:rsidRDefault="009A116C">
      <w:pPr>
        <w:numPr>
          <w:ilvl w:val="0"/>
          <w:numId w:val="4"/>
        </w:numPr>
        <w:spacing w:before="80" w:after="80"/>
        <w:ind w:right="33"/>
        <w:jc w:val="both"/>
      </w:pPr>
      <w:r>
        <w:rPr>
          <w:color w:val="373A3C"/>
        </w:rPr>
        <w:t xml:space="preserve">Coche </w:t>
      </w:r>
      <w:r w:rsidR="00FE1D78">
        <w:rPr>
          <w:color w:val="373A3C"/>
        </w:rPr>
        <w:t>les procédés dans l’encadré ci-dessous.</w:t>
      </w:r>
    </w:p>
    <w:p w:rsidR="009A116C" w:rsidRDefault="009A116C">
      <w:pPr>
        <w:spacing w:before="80" w:after="80"/>
        <w:ind w:left="29" w:right="33"/>
        <w:jc w:val="both"/>
      </w:pPr>
    </w:p>
    <w:tbl>
      <w:tblPr>
        <w:tblStyle w:val="a"/>
        <w:tblW w:w="3870"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ncadré"/>
        <w:tblDescription w:val="Liste de procédés à cocher"/>
      </w:tblPr>
      <w:tblGrid>
        <w:gridCol w:w="3870"/>
      </w:tblGrid>
      <w:tr w:rsidR="009D4742" w:rsidTr="00E96905">
        <w:tc>
          <w:tcPr>
            <w:tcW w:w="3870" w:type="dxa"/>
            <w:shd w:val="clear" w:color="auto" w:fill="auto"/>
            <w:tcMar>
              <w:top w:w="100" w:type="dxa"/>
              <w:left w:w="100" w:type="dxa"/>
              <w:bottom w:w="100" w:type="dxa"/>
              <w:right w:w="100" w:type="dxa"/>
            </w:tcMar>
          </w:tcPr>
          <w:p w:rsidR="009D4742" w:rsidRPr="009A116C" w:rsidRDefault="009D4742" w:rsidP="00E96905">
            <w:pPr>
              <w:widowControl w:val="0"/>
              <w:pBdr>
                <w:top w:val="nil"/>
                <w:left w:val="nil"/>
                <w:bottom w:val="nil"/>
                <w:right w:val="nil"/>
                <w:between w:val="nil"/>
              </w:pBdr>
              <w:spacing w:line="240" w:lineRule="auto"/>
              <w:rPr>
                <w:b/>
              </w:rPr>
            </w:pPr>
            <w:r w:rsidRPr="009A116C">
              <w:rPr>
                <w:b/>
              </w:rPr>
              <w:t>Procédés utilisés :</w:t>
            </w:r>
          </w:p>
        </w:tc>
      </w:tr>
      <w:tr w:rsidR="009D4742" w:rsidTr="00E96905">
        <w:tc>
          <w:tcPr>
            <w:tcW w:w="3870" w:type="dxa"/>
            <w:shd w:val="clear" w:color="auto" w:fill="auto"/>
            <w:tcMar>
              <w:top w:w="100" w:type="dxa"/>
              <w:left w:w="100" w:type="dxa"/>
              <w:bottom w:w="100" w:type="dxa"/>
              <w:right w:w="100" w:type="dxa"/>
            </w:tcMar>
          </w:tcPr>
          <w:p w:rsidR="009D4742" w:rsidRDefault="009D4742" w:rsidP="00E96905">
            <w:pPr>
              <w:widowControl w:val="0"/>
              <w:pBdr>
                <w:top w:val="nil"/>
                <w:left w:val="nil"/>
                <w:bottom w:val="nil"/>
                <w:right w:val="nil"/>
                <w:between w:val="nil"/>
              </w:pBdr>
              <w:spacing w:line="240" w:lineRule="auto"/>
              <w:ind w:left="360"/>
            </w:pPr>
            <w:sdt>
              <w:sdtPr>
                <w:id w:val="-2848132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Auxiliaire(s) de modalité</w:t>
            </w:r>
          </w:p>
          <w:p w:rsidR="009D4742" w:rsidRDefault="009D4742" w:rsidP="00E96905">
            <w:pPr>
              <w:widowControl w:val="0"/>
              <w:pBdr>
                <w:top w:val="nil"/>
                <w:left w:val="nil"/>
                <w:bottom w:val="nil"/>
                <w:right w:val="nil"/>
                <w:between w:val="nil"/>
              </w:pBdr>
              <w:spacing w:line="240" w:lineRule="auto"/>
              <w:ind w:left="360"/>
            </w:pPr>
            <w:sdt>
              <w:sdtPr>
                <w:id w:val="-2639311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Figure(s) de style</w:t>
            </w:r>
          </w:p>
          <w:p w:rsidR="009D4742" w:rsidRDefault="009D4742" w:rsidP="00E96905">
            <w:pPr>
              <w:widowControl w:val="0"/>
              <w:pBdr>
                <w:top w:val="nil"/>
                <w:left w:val="nil"/>
                <w:bottom w:val="nil"/>
                <w:right w:val="nil"/>
                <w:between w:val="nil"/>
              </w:pBdr>
              <w:spacing w:line="240" w:lineRule="auto"/>
              <w:ind w:left="360"/>
            </w:pPr>
            <w:sdt>
              <w:sdtPr>
                <w:id w:val="1111712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Marque(s) énonciative(s)</w:t>
            </w:r>
          </w:p>
          <w:p w:rsidR="009D4742" w:rsidRDefault="009D4742" w:rsidP="00E96905">
            <w:pPr>
              <w:widowControl w:val="0"/>
              <w:pBdr>
                <w:top w:val="nil"/>
                <w:left w:val="nil"/>
                <w:bottom w:val="nil"/>
                <w:right w:val="nil"/>
                <w:between w:val="nil"/>
              </w:pBdr>
              <w:spacing w:line="240" w:lineRule="auto"/>
              <w:ind w:left="360"/>
            </w:pPr>
            <w:sdt>
              <w:sdtPr>
                <w:id w:val="74155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Ponctuation expressive</w:t>
            </w:r>
          </w:p>
          <w:p w:rsidR="009D4742" w:rsidRDefault="009D4742" w:rsidP="00E96905">
            <w:pPr>
              <w:widowControl w:val="0"/>
              <w:pBdr>
                <w:top w:val="nil"/>
                <w:left w:val="nil"/>
                <w:bottom w:val="nil"/>
                <w:right w:val="nil"/>
                <w:between w:val="nil"/>
              </w:pBdr>
              <w:spacing w:line="240" w:lineRule="auto"/>
              <w:ind w:left="360"/>
            </w:pPr>
            <w:sdt>
              <w:sdtPr>
                <w:id w:val="9886745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Procédé typographique</w:t>
            </w:r>
          </w:p>
          <w:p w:rsidR="009D4742" w:rsidRDefault="009D4742" w:rsidP="00E96905">
            <w:pPr>
              <w:widowControl w:val="0"/>
              <w:pBdr>
                <w:top w:val="nil"/>
                <w:left w:val="nil"/>
                <w:bottom w:val="nil"/>
                <w:right w:val="nil"/>
                <w:between w:val="nil"/>
              </w:pBdr>
              <w:spacing w:line="240" w:lineRule="auto"/>
              <w:ind w:left="360"/>
            </w:pPr>
            <w:sdt>
              <w:sdtPr>
                <w:id w:val="-21305373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Structure de phrase</w:t>
            </w:r>
          </w:p>
          <w:p w:rsidR="009D4742" w:rsidRDefault="009D4742" w:rsidP="00E96905">
            <w:pPr>
              <w:widowControl w:val="0"/>
              <w:pBdr>
                <w:top w:val="nil"/>
                <w:left w:val="nil"/>
                <w:bottom w:val="nil"/>
                <w:right w:val="nil"/>
                <w:between w:val="nil"/>
              </w:pBdr>
              <w:spacing w:line="240" w:lineRule="auto"/>
              <w:ind w:left="360"/>
            </w:pPr>
            <w:sdt>
              <w:sdtPr>
                <w:id w:val="-12064806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Vocabulaire connoté</w:t>
            </w:r>
          </w:p>
        </w:tc>
      </w:tr>
    </w:tbl>
    <w:p w:rsidR="00EF375B" w:rsidRDefault="00FE1D78">
      <w:pPr>
        <w:spacing w:before="80" w:after="80"/>
        <w:ind w:left="29" w:right="33"/>
        <w:jc w:val="both"/>
        <w:rPr>
          <w:sz w:val="18"/>
          <w:szCs w:val="18"/>
        </w:rPr>
      </w:pPr>
      <w:r>
        <w:br w:type="page"/>
      </w:r>
    </w:p>
    <w:p w:rsidR="00EF375B" w:rsidRDefault="00FE1D78">
      <w:pPr>
        <w:pStyle w:val="Titre4"/>
        <w:keepNext w:val="0"/>
        <w:keepLines w:val="0"/>
        <w:shd w:val="clear" w:color="auto" w:fill="EBEDEE"/>
        <w:spacing w:before="0" w:after="40" w:line="288" w:lineRule="auto"/>
        <w:ind w:right="33"/>
        <w:jc w:val="both"/>
        <w:rPr>
          <w:b/>
          <w:color w:val="343A40"/>
          <w:sz w:val="22"/>
          <w:szCs w:val="22"/>
        </w:rPr>
      </w:pPr>
      <w:bookmarkStart w:id="4" w:name="_5ky8of8t7xqw" w:colFirst="0" w:colLast="0"/>
      <w:bookmarkEnd w:id="4"/>
      <w:r>
        <w:rPr>
          <w:b/>
          <w:color w:val="343A40"/>
          <w:sz w:val="22"/>
          <w:szCs w:val="22"/>
        </w:rPr>
        <w:lastRenderedPageBreak/>
        <w:t>EXTRAIT 4</w:t>
      </w:r>
    </w:p>
    <w:p w:rsidR="00EF375B" w:rsidRDefault="00EF375B">
      <w:pPr>
        <w:spacing w:line="360" w:lineRule="auto"/>
        <w:rPr>
          <w:color w:val="373A3C"/>
        </w:rPr>
      </w:pPr>
    </w:p>
    <w:p w:rsidR="00EF375B" w:rsidRDefault="00377768">
      <w:pPr>
        <w:numPr>
          <w:ilvl w:val="0"/>
          <w:numId w:val="6"/>
        </w:numPr>
        <w:spacing w:line="360" w:lineRule="auto"/>
        <w:rPr>
          <w:color w:val="373A3C"/>
        </w:rPr>
      </w:pPr>
      <w:r>
        <w:rPr>
          <w:color w:val="373A3C"/>
        </w:rPr>
        <w:t>Surligne</w:t>
      </w:r>
      <w:r w:rsidR="00FE1D78">
        <w:rPr>
          <w:color w:val="373A3C"/>
        </w:rPr>
        <w:t xml:space="preserve"> les marques de modalité.</w:t>
      </w:r>
    </w:p>
    <w:p w:rsidR="00EF375B" w:rsidRDefault="00FE1D78">
      <w:pPr>
        <w:pBdr>
          <w:top w:val="nil"/>
          <w:left w:val="nil"/>
          <w:bottom w:val="nil"/>
          <w:right w:val="nil"/>
          <w:between w:val="nil"/>
        </w:pBdr>
        <w:spacing w:before="80" w:after="80" w:line="360" w:lineRule="auto"/>
        <w:ind w:left="29" w:right="33"/>
        <w:jc w:val="both"/>
      </w:pPr>
      <w:r>
        <w:t>« Sans avoir lu le roman de Yasmina Khadra, j’ai trouvé son adaptation BD très bonne. Ce n’est donc pas en comparant cet album à l’œuvre d’origine que je fonde mon avis, mais sur la découverte de ce récit très bien mené.</w:t>
      </w:r>
    </w:p>
    <w:p w:rsidR="00EF375B" w:rsidRDefault="00FE1D78">
      <w:pPr>
        <w:pBdr>
          <w:top w:val="nil"/>
          <w:left w:val="nil"/>
          <w:bottom w:val="nil"/>
          <w:right w:val="nil"/>
          <w:between w:val="nil"/>
        </w:pBdr>
        <w:spacing w:before="80" w:after="80" w:line="360" w:lineRule="auto"/>
        <w:ind w:left="29" w:right="33"/>
        <w:jc w:val="both"/>
      </w:pPr>
      <w:r>
        <w:t>Cette plongée dans la tragédie du conflit israelo-palestinien (sic) est en effet très prenante. […]</w:t>
      </w:r>
    </w:p>
    <w:p w:rsidR="00EF375B" w:rsidRDefault="00FE1D78">
      <w:pPr>
        <w:pBdr>
          <w:top w:val="nil"/>
          <w:left w:val="nil"/>
          <w:bottom w:val="nil"/>
          <w:right w:val="nil"/>
          <w:between w:val="nil"/>
        </w:pBdr>
        <w:spacing w:before="80" w:after="80" w:line="360" w:lineRule="auto"/>
        <w:ind w:left="29" w:right="33"/>
        <w:jc w:val="both"/>
      </w:pPr>
      <w:r>
        <w:t>J’ai lu cet album de plus de 150 pages d’une traite, happé par cette simple question qui hante notre protagoniste : POURQUOI?</w:t>
      </w:r>
    </w:p>
    <w:p w:rsidR="00EF375B" w:rsidRDefault="00FE1D78">
      <w:pPr>
        <w:pBdr>
          <w:top w:val="nil"/>
          <w:left w:val="nil"/>
          <w:bottom w:val="nil"/>
          <w:right w:val="nil"/>
          <w:between w:val="nil"/>
        </w:pBdr>
        <w:spacing w:before="80" w:after="80" w:line="360" w:lineRule="auto"/>
        <w:ind w:left="29" w:right="33"/>
        <w:jc w:val="both"/>
      </w:pPr>
      <w:r>
        <w:t>Graphiquement, le style semi-réaliste en ligne claire de Glen Chapron m’a d’abord un peu surpris; c’est pas ce que je préfère dans la BD. Mais une fois le récit lancé, on est pris par le rythme du récit et l’excellent travail narratif. Un travail efficace et expressif qui rend parfaitement l’intensité de cette tragique histoire.</w:t>
      </w:r>
    </w:p>
    <w:p w:rsidR="00EF375B" w:rsidRDefault="00FE1D78">
      <w:pPr>
        <w:pBdr>
          <w:top w:val="nil"/>
          <w:left w:val="nil"/>
          <w:bottom w:val="nil"/>
          <w:right w:val="nil"/>
          <w:between w:val="nil"/>
        </w:pBdr>
        <w:spacing w:before="80" w:after="80" w:line="360" w:lineRule="auto"/>
        <w:ind w:left="29" w:right="33"/>
        <w:jc w:val="both"/>
      </w:pPr>
      <w:r>
        <w:t>Une très bonne BD qui révèle toute la complexité de ce conflit et comment l’obsession de vérité peut aussi être dévastatrice. »</w:t>
      </w:r>
    </w:p>
    <w:p w:rsidR="00EF375B" w:rsidRDefault="00FE1D78">
      <w:pPr>
        <w:shd w:val="clear" w:color="auto" w:fill="FFFFFF"/>
        <w:spacing w:before="80" w:after="120" w:line="240" w:lineRule="auto"/>
        <w:jc w:val="right"/>
        <w:rPr>
          <w:sz w:val="18"/>
          <w:szCs w:val="18"/>
        </w:rPr>
      </w:pPr>
      <w:r>
        <w:rPr>
          <w:sz w:val="18"/>
          <w:szCs w:val="18"/>
        </w:rPr>
        <w:t xml:space="preserve">Paco (pseudonyme). </w:t>
      </w:r>
      <w:r>
        <w:rPr>
          <w:i/>
          <w:sz w:val="18"/>
          <w:szCs w:val="18"/>
        </w:rPr>
        <w:t>L’attentat</w:t>
      </w:r>
      <w:r>
        <w:rPr>
          <w:sz w:val="18"/>
          <w:szCs w:val="18"/>
        </w:rPr>
        <w:t xml:space="preserve">, BD de Loïc Dauvillier et </w:t>
      </w:r>
      <w:r>
        <w:rPr>
          <w:sz w:val="18"/>
          <w:szCs w:val="18"/>
        </w:rPr>
        <w:br/>
        <w:t xml:space="preserve">Glen Chapron, adaptée du roman de Yasmina Khadra. </w:t>
      </w:r>
      <w:r>
        <w:rPr>
          <w:sz w:val="18"/>
          <w:szCs w:val="18"/>
        </w:rPr>
        <w:br/>
      </w:r>
      <w:r>
        <w:rPr>
          <w:i/>
          <w:sz w:val="18"/>
          <w:szCs w:val="18"/>
        </w:rPr>
        <w:t>Les avis</w:t>
      </w:r>
      <w:r>
        <w:rPr>
          <w:sz w:val="18"/>
          <w:szCs w:val="18"/>
        </w:rPr>
        <w:t xml:space="preserve">, 18 septembre 2012. </w:t>
      </w:r>
      <w:r>
        <w:rPr>
          <w:sz w:val="18"/>
          <w:szCs w:val="18"/>
        </w:rPr>
        <w:br/>
        <w:t>[</w:t>
      </w:r>
      <w:hyperlink r:id="rId9">
        <w:r>
          <w:rPr>
            <w:color w:val="1155CC"/>
            <w:sz w:val="18"/>
            <w:szCs w:val="18"/>
            <w:u w:val="single"/>
          </w:rPr>
          <w:t>https://www.bdtheque.com/series/12283/l-attentat</w:t>
        </w:r>
      </w:hyperlink>
      <w:r>
        <w:rPr>
          <w:sz w:val="18"/>
          <w:szCs w:val="18"/>
        </w:rPr>
        <w:t xml:space="preserve">] </w:t>
      </w:r>
    </w:p>
    <w:p w:rsidR="00EF375B" w:rsidRDefault="00EF375B">
      <w:pPr>
        <w:shd w:val="clear" w:color="auto" w:fill="FFFFFF"/>
        <w:spacing w:before="80" w:after="120" w:line="240" w:lineRule="auto"/>
        <w:jc w:val="both"/>
      </w:pPr>
    </w:p>
    <w:p w:rsidR="00EF375B" w:rsidRDefault="009A116C">
      <w:pPr>
        <w:numPr>
          <w:ilvl w:val="0"/>
          <w:numId w:val="6"/>
        </w:numPr>
        <w:spacing w:before="80" w:after="80"/>
        <w:ind w:right="33"/>
        <w:jc w:val="both"/>
      </w:pPr>
      <w:r>
        <w:rPr>
          <w:color w:val="373A3C"/>
        </w:rPr>
        <w:t>Coche</w:t>
      </w:r>
      <w:r w:rsidR="00FE1D78">
        <w:rPr>
          <w:color w:val="373A3C"/>
        </w:rPr>
        <w:t xml:space="preserve"> les procédés dans l'encadré ci-dessous.</w:t>
      </w:r>
      <w:r w:rsidR="00FE1D78">
        <w:t xml:space="preserve"> </w:t>
      </w:r>
    </w:p>
    <w:p w:rsidR="009A116C" w:rsidRDefault="009A116C" w:rsidP="009A116C">
      <w:pPr>
        <w:spacing w:before="80" w:after="80"/>
        <w:ind w:left="720" w:right="33"/>
        <w:jc w:val="both"/>
      </w:pPr>
    </w:p>
    <w:tbl>
      <w:tblPr>
        <w:tblStyle w:val="a"/>
        <w:tblW w:w="3870"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ncadré"/>
        <w:tblDescription w:val="Liste de procédés à cocher"/>
      </w:tblPr>
      <w:tblGrid>
        <w:gridCol w:w="3870"/>
      </w:tblGrid>
      <w:tr w:rsidR="009D4742" w:rsidTr="00E96905">
        <w:tc>
          <w:tcPr>
            <w:tcW w:w="3870" w:type="dxa"/>
            <w:shd w:val="clear" w:color="auto" w:fill="auto"/>
            <w:tcMar>
              <w:top w:w="100" w:type="dxa"/>
              <w:left w:w="100" w:type="dxa"/>
              <w:bottom w:w="100" w:type="dxa"/>
              <w:right w:w="100" w:type="dxa"/>
            </w:tcMar>
          </w:tcPr>
          <w:p w:rsidR="009D4742" w:rsidRPr="009A116C" w:rsidRDefault="009D4742" w:rsidP="00E96905">
            <w:pPr>
              <w:widowControl w:val="0"/>
              <w:pBdr>
                <w:top w:val="nil"/>
                <w:left w:val="nil"/>
                <w:bottom w:val="nil"/>
                <w:right w:val="nil"/>
                <w:between w:val="nil"/>
              </w:pBdr>
              <w:spacing w:line="240" w:lineRule="auto"/>
              <w:rPr>
                <w:b/>
              </w:rPr>
            </w:pPr>
            <w:r w:rsidRPr="009A116C">
              <w:rPr>
                <w:b/>
              </w:rPr>
              <w:t>Procédés utilisés :</w:t>
            </w:r>
          </w:p>
        </w:tc>
      </w:tr>
      <w:tr w:rsidR="009D4742" w:rsidTr="00E96905">
        <w:tc>
          <w:tcPr>
            <w:tcW w:w="3870" w:type="dxa"/>
            <w:shd w:val="clear" w:color="auto" w:fill="auto"/>
            <w:tcMar>
              <w:top w:w="100" w:type="dxa"/>
              <w:left w:w="100" w:type="dxa"/>
              <w:bottom w:w="100" w:type="dxa"/>
              <w:right w:w="100" w:type="dxa"/>
            </w:tcMar>
          </w:tcPr>
          <w:p w:rsidR="009D4742" w:rsidRDefault="009D4742" w:rsidP="00E96905">
            <w:pPr>
              <w:widowControl w:val="0"/>
              <w:pBdr>
                <w:top w:val="nil"/>
                <w:left w:val="nil"/>
                <w:bottom w:val="nil"/>
                <w:right w:val="nil"/>
                <w:between w:val="nil"/>
              </w:pBdr>
              <w:spacing w:line="240" w:lineRule="auto"/>
              <w:ind w:left="360"/>
            </w:pPr>
            <w:sdt>
              <w:sdtPr>
                <w:id w:val="822702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Auxiliaire(s) de modalité</w:t>
            </w:r>
          </w:p>
          <w:p w:rsidR="009D4742" w:rsidRDefault="009D4742" w:rsidP="00E96905">
            <w:pPr>
              <w:widowControl w:val="0"/>
              <w:pBdr>
                <w:top w:val="nil"/>
                <w:left w:val="nil"/>
                <w:bottom w:val="nil"/>
                <w:right w:val="nil"/>
                <w:between w:val="nil"/>
              </w:pBdr>
              <w:spacing w:line="240" w:lineRule="auto"/>
              <w:ind w:left="360"/>
            </w:pPr>
            <w:sdt>
              <w:sdtPr>
                <w:id w:val="-19154665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Figure(s) de style</w:t>
            </w:r>
          </w:p>
          <w:p w:rsidR="009D4742" w:rsidRDefault="009D4742" w:rsidP="00E96905">
            <w:pPr>
              <w:widowControl w:val="0"/>
              <w:pBdr>
                <w:top w:val="nil"/>
                <w:left w:val="nil"/>
                <w:bottom w:val="nil"/>
                <w:right w:val="nil"/>
                <w:between w:val="nil"/>
              </w:pBdr>
              <w:spacing w:line="240" w:lineRule="auto"/>
              <w:ind w:left="360"/>
            </w:pPr>
            <w:sdt>
              <w:sdtPr>
                <w:id w:val="-894882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Marque(s) énonciative(s)</w:t>
            </w:r>
          </w:p>
          <w:p w:rsidR="009D4742" w:rsidRDefault="009D4742" w:rsidP="00E96905">
            <w:pPr>
              <w:widowControl w:val="0"/>
              <w:pBdr>
                <w:top w:val="nil"/>
                <w:left w:val="nil"/>
                <w:bottom w:val="nil"/>
                <w:right w:val="nil"/>
                <w:between w:val="nil"/>
              </w:pBdr>
              <w:spacing w:line="240" w:lineRule="auto"/>
              <w:ind w:left="360"/>
            </w:pPr>
            <w:sdt>
              <w:sdtPr>
                <w:id w:val="942722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Ponctuation expressive</w:t>
            </w:r>
          </w:p>
          <w:p w:rsidR="009D4742" w:rsidRDefault="009D4742" w:rsidP="00E96905">
            <w:pPr>
              <w:widowControl w:val="0"/>
              <w:pBdr>
                <w:top w:val="nil"/>
                <w:left w:val="nil"/>
                <w:bottom w:val="nil"/>
                <w:right w:val="nil"/>
                <w:between w:val="nil"/>
              </w:pBdr>
              <w:spacing w:line="240" w:lineRule="auto"/>
              <w:ind w:left="360"/>
            </w:pPr>
            <w:sdt>
              <w:sdtPr>
                <w:id w:val="-10331145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Procédé typographique</w:t>
            </w:r>
          </w:p>
          <w:p w:rsidR="009D4742" w:rsidRDefault="009D4742" w:rsidP="00E96905">
            <w:pPr>
              <w:widowControl w:val="0"/>
              <w:pBdr>
                <w:top w:val="nil"/>
                <w:left w:val="nil"/>
                <w:bottom w:val="nil"/>
                <w:right w:val="nil"/>
                <w:between w:val="nil"/>
              </w:pBdr>
              <w:spacing w:line="240" w:lineRule="auto"/>
              <w:ind w:left="360"/>
            </w:pPr>
            <w:sdt>
              <w:sdtPr>
                <w:id w:val="-12501177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Structure de phrase</w:t>
            </w:r>
          </w:p>
          <w:p w:rsidR="009D4742" w:rsidRDefault="009D4742" w:rsidP="00E96905">
            <w:pPr>
              <w:widowControl w:val="0"/>
              <w:pBdr>
                <w:top w:val="nil"/>
                <w:left w:val="nil"/>
                <w:bottom w:val="nil"/>
                <w:right w:val="nil"/>
                <w:between w:val="nil"/>
              </w:pBdr>
              <w:spacing w:line="240" w:lineRule="auto"/>
              <w:ind w:left="360"/>
            </w:pPr>
            <w:sdt>
              <w:sdtPr>
                <w:id w:val="-4349807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Vocabulaire connoté</w:t>
            </w:r>
          </w:p>
        </w:tc>
      </w:tr>
    </w:tbl>
    <w:p w:rsidR="00EF375B" w:rsidRDefault="00EF375B" w:rsidP="009D4742">
      <w:pPr>
        <w:spacing w:before="80" w:after="80"/>
        <w:ind w:left="29" w:right="33"/>
        <w:jc w:val="both"/>
        <w:rPr>
          <w:color w:val="1B1B1B"/>
        </w:rPr>
      </w:pPr>
    </w:p>
    <w:sectPr w:rsidR="00EF375B">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03" w:rsidRDefault="00320403">
      <w:pPr>
        <w:spacing w:line="240" w:lineRule="auto"/>
      </w:pPr>
      <w:r>
        <w:separator/>
      </w:r>
    </w:p>
  </w:endnote>
  <w:endnote w:type="continuationSeparator" w:id="0">
    <w:p w:rsidR="00320403" w:rsidRDefault="00320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07" w:rsidRDefault="00C5780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5B" w:rsidRDefault="00FE1D78">
    <w:pPr>
      <w:jc w:val="right"/>
    </w:pPr>
    <w:r>
      <w:rPr>
        <w:noProof/>
        <w:lang w:val="fr-CA"/>
      </w:rPr>
      <w:drawing>
        <wp:inline distT="19050" distB="19050" distL="19050" distR="19050" wp14:anchorId="198AFFA6" wp14:editId="047E4732">
          <wp:extent cx="552450" cy="190500"/>
          <wp:effectExtent l="0" t="0" r="0" b="0"/>
          <wp:docPr id="2" name="image1.png" descr="creativecommuns.png" title="Logo Creative Commons"/>
          <wp:cNvGraphicFramePr/>
          <a:graphic xmlns:a="http://schemas.openxmlformats.org/drawingml/2006/main">
            <a:graphicData uri="http://schemas.openxmlformats.org/drawingml/2006/picture">
              <pic:pic xmlns:pic="http://schemas.openxmlformats.org/drawingml/2006/picture">
                <pic:nvPicPr>
                  <pic:cNvPr id="0" name="image1.png" descr="creativecommuns.png"/>
                  <pic:cNvPicPr preferRelativeResize="0"/>
                </pic:nvPicPr>
                <pic:blipFill>
                  <a:blip r:embed="rId1"/>
                  <a:srcRect/>
                  <a:stretch>
                    <a:fillRect/>
                  </a:stretch>
                </pic:blipFill>
                <pic:spPr>
                  <a:xfrm>
                    <a:off x="0" y="0"/>
                    <a:ext cx="552450" cy="190500"/>
                  </a:xfrm>
                  <a:prstGeom prst="rect">
                    <a:avLst/>
                  </a:prstGeom>
                  <a:ln/>
                </pic:spPr>
              </pic:pic>
            </a:graphicData>
          </a:graphic>
        </wp:inline>
      </w:drawing>
    </w:r>
    <w:r>
      <w:rPr>
        <w:noProof/>
        <w:lang w:val="fr-CA"/>
      </w:rPr>
      <w:drawing>
        <wp:inline distT="114300" distB="114300" distL="114300" distR="114300" wp14:anchorId="7B7DEC01" wp14:editId="28D3CDF6">
          <wp:extent cx="330094" cy="279862"/>
          <wp:effectExtent l="0" t="0" r="0" b="6350"/>
          <wp:docPr id="1" name="image2.jpg" title="Logo du RÉCIT"/>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b="15053"/>
                  <a:stretch>
                    <a:fillRect/>
                  </a:stretch>
                </pic:blipFill>
                <pic:spPr>
                  <a:xfrm>
                    <a:off x="0" y="0"/>
                    <a:ext cx="330094" cy="279862"/>
                  </a:xfrm>
                  <a:prstGeom prst="rect">
                    <a:avLst/>
                  </a:prstGeom>
                  <a:ln/>
                </pic:spPr>
              </pic:pic>
            </a:graphicData>
          </a:graphic>
        </wp:inline>
      </w:drawing>
    </w:r>
    <w:r>
      <w:fldChar w:fldCharType="begin"/>
    </w:r>
    <w:r>
      <w:instrText>PAGE</w:instrText>
    </w:r>
    <w:r>
      <w:fldChar w:fldCharType="separate"/>
    </w:r>
    <w:r w:rsidR="00C57807">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07" w:rsidRDefault="00C578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03" w:rsidRDefault="00320403">
      <w:pPr>
        <w:spacing w:line="240" w:lineRule="auto"/>
      </w:pPr>
      <w:r>
        <w:separator/>
      </w:r>
    </w:p>
  </w:footnote>
  <w:footnote w:type="continuationSeparator" w:id="0">
    <w:p w:rsidR="00320403" w:rsidRDefault="003204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07" w:rsidRDefault="00C5780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07" w:rsidRDefault="00C5780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07" w:rsidRDefault="00C5780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1A6"/>
    <w:multiLevelType w:val="multilevel"/>
    <w:tmpl w:val="379601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BFC5A7B"/>
    <w:multiLevelType w:val="multilevel"/>
    <w:tmpl w:val="BAF6E1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BB77FEF"/>
    <w:multiLevelType w:val="multilevel"/>
    <w:tmpl w:val="7B000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42B4904"/>
    <w:multiLevelType w:val="multilevel"/>
    <w:tmpl w:val="E1EC96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80B5605"/>
    <w:multiLevelType w:val="multilevel"/>
    <w:tmpl w:val="7006F2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5BF0C0E"/>
    <w:multiLevelType w:val="multilevel"/>
    <w:tmpl w:val="728CBD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F375B"/>
    <w:rsid w:val="000E1153"/>
    <w:rsid w:val="002A2724"/>
    <w:rsid w:val="002F3B0E"/>
    <w:rsid w:val="00320403"/>
    <w:rsid w:val="00377768"/>
    <w:rsid w:val="009A116C"/>
    <w:rsid w:val="009D4742"/>
    <w:rsid w:val="00C57807"/>
    <w:rsid w:val="00C727A4"/>
    <w:rsid w:val="00DF5850"/>
    <w:rsid w:val="00EF375B"/>
    <w:rsid w:val="00FE1D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9A116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116C"/>
    <w:rPr>
      <w:rFonts w:ascii="Tahoma" w:hAnsi="Tahoma" w:cs="Tahoma"/>
      <w:sz w:val="16"/>
      <w:szCs w:val="16"/>
    </w:rPr>
  </w:style>
  <w:style w:type="character" w:styleId="Textedelespacerserv">
    <w:name w:val="Placeholder Text"/>
    <w:basedOn w:val="Policepardfaut"/>
    <w:uiPriority w:val="99"/>
    <w:semiHidden/>
    <w:rsid w:val="009A116C"/>
    <w:rPr>
      <w:color w:val="808080"/>
    </w:rPr>
  </w:style>
  <w:style w:type="paragraph" w:styleId="Paragraphedeliste">
    <w:name w:val="List Paragraph"/>
    <w:basedOn w:val="Normal"/>
    <w:uiPriority w:val="34"/>
    <w:qFormat/>
    <w:rsid w:val="00FE1D78"/>
    <w:pPr>
      <w:ind w:left="720"/>
      <w:contextualSpacing/>
    </w:pPr>
  </w:style>
  <w:style w:type="paragraph" w:styleId="En-tte">
    <w:name w:val="header"/>
    <w:basedOn w:val="Normal"/>
    <w:link w:val="En-tteCar"/>
    <w:uiPriority w:val="99"/>
    <w:unhideWhenUsed/>
    <w:rsid w:val="00FE1D78"/>
    <w:pPr>
      <w:tabs>
        <w:tab w:val="center" w:pos="4320"/>
        <w:tab w:val="right" w:pos="8640"/>
      </w:tabs>
      <w:spacing w:line="240" w:lineRule="auto"/>
    </w:pPr>
  </w:style>
  <w:style w:type="character" w:customStyle="1" w:styleId="En-tteCar">
    <w:name w:val="En-tête Car"/>
    <w:basedOn w:val="Policepardfaut"/>
    <w:link w:val="En-tte"/>
    <w:uiPriority w:val="99"/>
    <w:rsid w:val="00FE1D78"/>
  </w:style>
  <w:style w:type="paragraph" w:styleId="Pieddepage">
    <w:name w:val="footer"/>
    <w:basedOn w:val="Normal"/>
    <w:link w:val="PieddepageCar"/>
    <w:uiPriority w:val="99"/>
    <w:unhideWhenUsed/>
    <w:rsid w:val="00FE1D78"/>
    <w:pPr>
      <w:tabs>
        <w:tab w:val="center" w:pos="4320"/>
        <w:tab w:val="right" w:pos="8640"/>
      </w:tabs>
      <w:spacing w:line="240" w:lineRule="auto"/>
    </w:pPr>
  </w:style>
  <w:style w:type="character" w:customStyle="1" w:styleId="PieddepageCar">
    <w:name w:val="Pied de page Car"/>
    <w:basedOn w:val="Policepardfaut"/>
    <w:link w:val="Pieddepage"/>
    <w:uiPriority w:val="99"/>
    <w:rsid w:val="00FE1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9A116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116C"/>
    <w:rPr>
      <w:rFonts w:ascii="Tahoma" w:hAnsi="Tahoma" w:cs="Tahoma"/>
      <w:sz w:val="16"/>
      <w:szCs w:val="16"/>
    </w:rPr>
  </w:style>
  <w:style w:type="character" w:styleId="Textedelespacerserv">
    <w:name w:val="Placeholder Text"/>
    <w:basedOn w:val="Policepardfaut"/>
    <w:uiPriority w:val="99"/>
    <w:semiHidden/>
    <w:rsid w:val="009A116C"/>
    <w:rPr>
      <w:color w:val="808080"/>
    </w:rPr>
  </w:style>
  <w:style w:type="paragraph" w:styleId="Paragraphedeliste">
    <w:name w:val="List Paragraph"/>
    <w:basedOn w:val="Normal"/>
    <w:uiPriority w:val="34"/>
    <w:qFormat/>
    <w:rsid w:val="00FE1D78"/>
    <w:pPr>
      <w:ind w:left="720"/>
      <w:contextualSpacing/>
    </w:pPr>
  </w:style>
  <w:style w:type="paragraph" w:styleId="En-tte">
    <w:name w:val="header"/>
    <w:basedOn w:val="Normal"/>
    <w:link w:val="En-tteCar"/>
    <w:uiPriority w:val="99"/>
    <w:unhideWhenUsed/>
    <w:rsid w:val="00FE1D78"/>
    <w:pPr>
      <w:tabs>
        <w:tab w:val="center" w:pos="4320"/>
        <w:tab w:val="right" w:pos="8640"/>
      </w:tabs>
      <w:spacing w:line="240" w:lineRule="auto"/>
    </w:pPr>
  </w:style>
  <w:style w:type="character" w:customStyle="1" w:styleId="En-tteCar">
    <w:name w:val="En-tête Car"/>
    <w:basedOn w:val="Policepardfaut"/>
    <w:link w:val="En-tte"/>
    <w:uiPriority w:val="99"/>
    <w:rsid w:val="00FE1D78"/>
  </w:style>
  <w:style w:type="paragraph" w:styleId="Pieddepage">
    <w:name w:val="footer"/>
    <w:basedOn w:val="Normal"/>
    <w:link w:val="PieddepageCar"/>
    <w:uiPriority w:val="99"/>
    <w:unhideWhenUsed/>
    <w:rsid w:val="00FE1D78"/>
    <w:pPr>
      <w:tabs>
        <w:tab w:val="center" w:pos="4320"/>
        <w:tab w:val="right" w:pos="8640"/>
      </w:tabs>
      <w:spacing w:line="240" w:lineRule="auto"/>
    </w:pPr>
  </w:style>
  <w:style w:type="character" w:customStyle="1" w:styleId="PieddepageCar">
    <w:name w:val="Pied de page Car"/>
    <w:basedOn w:val="Policepardfaut"/>
    <w:link w:val="Pieddepage"/>
    <w:uiPriority w:val="99"/>
    <w:rsid w:val="00FE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abelio.com/livres/Michaud-Bondree/622858/critiques?a=a&amp;pageN=5"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dtheque.com/series/12283/l-attenta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3720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2020-12-16T15:37:00Z</dcterms:created>
  <dcterms:modified xsi:type="dcterms:W3CDTF">2020-12-16T15:37:00Z</dcterms:modified>
</cp:coreProperties>
</file>